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67F1" w14:textId="52F6381C" w:rsidR="00CF4428" w:rsidRPr="0097748E" w:rsidRDefault="002576E9" w:rsidP="00CA56AC">
      <w:pPr>
        <w:spacing w:before="100" w:beforeAutospacing="1" w:after="100" w:afterAutospacing="1" w:line="240" w:lineRule="auto"/>
        <w:rPr>
          <w:b/>
          <w:szCs w:val="24"/>
        </w:rPr>
      </w:pPr>
      <w:r>
        <w:rPr>
          <w:b/>
          <w:szCs w:val="24"/>
        </w:rPr>
        <w:t xml:space="preserve">VERKLARING GEGEVENSBESCHERMING </w:t>
      </w:r>
      <w:r w:rsidR="00126B87">
        <w:rPr>
          <w:b/>
          <w:szCs w:val="24"/>
        </w:rPr>
        <w:t>–</w:t>
      </w:r>
      <w:r>
        <w:rPr>
          <w:b/>
          <w:szCs w:val="24"/>
        </w:rPr>
        <w:t xml:space="preserve"> DISTRIBUTEURS</w:t>
      </w:r>
    </w:p>
    <w:p w14:paraId="42ACD6A1" w14:textId="4E4DC2F6" w:rsidR="004F443F" w:rsidRPr="0097748E" w:rsidRDefault="008F5F92" w:rsidP="00CA56AC">
      <w:pPr>
        <w:spacing w:before="100" w:beforeAutospacing="1" w:after="100" w:afterAutospacing="1" w:line="240" w:lineRule="auto"/>
        <w:rPr>
          <w:szCs w:val="24"/>
        </w:rPr>
      </w:pPr>
      <w:r>
        <w:t>Teleflex zet zich in voor de bescherming en eerbiediging van uw privacy. Deze Verklaring Gegevensbescherming omschrijft de grondslag waarop alle persoonlijke gegevens die we van u verzamelen of die u ons verstrekt (</w:t>
      </w:r>
      <w:r>
        <w:rPr>
          <w:b/>
          <w:szCs w:val="24"/>
        </w:rPr>
        <w:t>Gegevens</w:t>
      </w:r>
      <w:r>
        <w:t>), worden verwerkt. Lees het onderstaande zorgvuldig door om te begrijpen hoe wij met Gegevens omgaan.</w:t>
      </w:r>
    </w:p>
    <w:p w14:paraId="0D426B16" w14:textId="73DD085A" w:rsidR="00CF4428" w:rsidRPr="0097748E" w:rsidRDefault="004F443F" w:rsidP="00CA56AC">
      <w:pPr>
        <w:spacing w:before="100" w:beforeAutospacing="1" w:after="100" w:afterAutospacing="1" w:line="240" w:lineRule="auto"/>
        <w:rPr>
          <w:szCs w:val="24"/>
        </w:rPr>
      </w:pPr>
      <w:r>
        <w:t xml:space="preserve">Deze Verklaring Gegevensbescherming is uitsluitend van toepassing op persoonsgegevens die worden verzameld en verwerkt door Teleflex Incorporated, 550 E. Swedesford Road Suite 400 Wayne, PA 19087-1603, VS of, indien van toepassing, een van de in </w:t>
      </w:r>
      <w:r>
        <w:rPr>
          <w:b/>
          <w:szCs w:val="24"/>
        </w:rPr>
        <w:t>Bijlage 1</w:t>
      </w:r>
      <w:r>
        <w:t xml:space="preserve"> van deze Verklaring Gegevensbescherming vermelde verbonden ondernemingen/dochterondernemingen (hierna "Teleflex", "wij", "ons" of "onze" genoemd).</w:t>
      </w:r>
    </w:p>
    <w:p w14:paraId="4812D8FF" w14:textId="435887E7" w:rsidR="003B6309" w:rsidRPr="0097748E" w:rsidRDefault="003B6309" w:rsidP="00CA56AC">
      <w:pPr>
        <w:spacing w:before="100" w:beforeAutospacing="1" w:after="100" w:afterAutospacing="1" w:line="240" w:lineRule="auto"/>
        <w:rPr>
          <w:rFonts w:cs="Arial"/>
        </w:rPr>
      </w:pPr>
      <w:r>
        <w:t>Door het ondertekenen van het toestemmingsformulier en door het verschaffen van Gegevens voor de doeleinden van de Enquête Bedrijfsonderzoek Wederverkoper en de zakelijke relatie tussen het Bedrijf en Teleflex, geeft u ons toestemming voor het gebruik van uw Gegevens als uiteengezet in deze Verklaring Gegevensbescherming. U heeft het recht uw toestemming op elk moment in te trekken. U kunt contact met ons opnemen als u dat wilt (zie hieronder: Neem contact met ons op). </w:t>
      </w:r>
    </w:p>
    <w:p w14:paraId="1C4FFA0B" w14:textId="797404C7" w:rsidR="004A6F7B" w:rsidRPr="0097748E" w:rsidRDefault="004A6F7B" w:rsidP="00CA56AC">
      <w:pPr>
        <w:spacing w:before="100" w:beforeAutospacing="1" w:after="100" w:afterAutospacing="1" w:line="240" w:lineRule="auto"/>
        <w:rPr>
          <w:rFonts w:cs="Arial"/>
        </w:rPr>
      </w:pPr>
      <w:r>
        <w:t>Voor de doeleinden van deze Verklaring Gegevensbescherming hebben verwijzingen naar “het Bedrijf” betrekking op de organisatie die is vermeld in Deel A.1 van de Enquête Bedrijfsonderzoek Wederverkoper van het Bedrijf waarmee Teleflex een distributieregeling aangaat.</w:t>
      </w:r>
    </w:p>
    <w:p w14:paraId="02D62E05" w14:textId="77777777" w:rsidR="00CA4D3C" w:rsidRPr="0097748E" w:rsidRDefault="00CA4D3C" w:rsidP="00CA56AC">
      <w:pPr>
        <w:spacing w:before="100" w:beforeAutospacing="1" w:after="100" w:afterAutospacing="1" w:line="240" w:lineRule="auto"/>
        <w:rPr>
          <w:b/>
          <w:color w:val="333333"/>
        </w:rPr>
      </w:pPr>
      <w:r>
        <w:rPr>
          <w:b/>
          <w:color w:val="333333"/>
        </w:rPr>
        <w:t>Toepassingsgebied</w:t>
      </w:r>
    </w:p>
    <w:p w14:paraId="2588C69C" w14:textId="4E8D0859" w:rsidR="00CA4D3C" w:rsidRPr="0097748E" w:rsidRDefault="00CA4D3C" w:rsidP="00CA56AC">
      <w:pPr>
        <w:spacing w:before="100" w:beforeAutospacing="1" w:after="100" w:afterAutospacing="1" w:line="240" w:lineRule="auto"/>
      </w:pPr>
      <w:r>
        <w:t>Deze Verklaring Gegevensbescherming is van toepassing op u, ongeacht of u een voormalige, huidige of toekomstige werknemer, functionaris of directeur van het Bedrijf bent, zoals vermeld in de Enquête Bedrijfsonderzoek Wederverkoper en de zakelijke relatie tussen het Bedrijf en Teleflex.</w:t>
      </w:r>
      <w:r w:rsidR="00126B87">
        <w:t xml:space="preserve"> </w:t>
      </w:r>
      <w:r>
        <w:t>De Verklaring is tevens van toepassing op derden over wie u ons informatie verstrekt in verband met onze relatie met het Bedrijf.</w:t>
      </w:r>
      <w:r w:rsidR="00126B87">
        <w:t xml:space="preserve"> </w:t>
      </w:r>
      <w:r>
        <w:t>Zorg ervoor dat u een exemplaar van deze Verklaring Gegevensbescherming verstrekt aan alle derden van wie u persoonsgegevens aan ons verstrekt.</w:t>
      </w:r>
    </w:p>
    <w:p w14:paraId="69591E74" w14:textId="77777777" w:rsidR="00D350C5" w:rsidRPr="0097748E" w:rsidRDefault="00D350C5" w:rsidP="00CA56AC">
      <w:pPr>
        <w:spacing w:before="0" w:line="240" w:lineRule="auto"/>
        <w:rPr>
          <w:rFonts w:eastAsiaTheme="minorHAnsi" w:cs="Arial"/>
          <w:b/>
          <w:color w:val="333333"/>
        </w:rPr>
      </w:pPr>
      <w:r>
        <w:rPr>
          <w:b/>
          <w:color w:val="333333"/>
        </w:rPr>
        <w:t>Wat zijn persoonsgegevens?</w:t>
      </w:r>
    </w:p>
    <w:p w14:paraId="2BAB9871" w14:textId="77777777" w:rsidR="005C19B3" w:rsidRPr="0097748E" w:rsidRDefault="005C19B3" w:rsidP="00CA56AC">
      <w:pPr>
        <w:spacing w:before="0" w:line="240" w:lineRule="auto"/>
        <w:rPr>
          <w:rFonts w:eastAsiaTheme="minorHAnsi" w:cs="Arial"/>
          <w:b/>
          <w:color w:val="333333"/>
        </w:rPr>
      </w:pPr>
    </w:p>
    <w:p w14:paraId="1AF243DA" w14:textId="308EE719" w:rsidR="00D350C5" w:rsidRPr="0097748E" w:rsidRDefault="00D350C5" w:rsidP="00CA56AC">
      <w:pPr>
        <w:spacing w:before="0" w:line="240" w:lineRule="auto"/>
        <w:rPr>
          <w:rFonts w:eastAsiaTheme="minorHAnsi" w:cs="Arial"/>
          <w:color w:val="333333"/>
        </w:rPr>
      </w:pPr>
      <w:r>
        <w:t>“Persoonsgegevens” zijn alle gegevens met betrekking tot een levende persoon die rechtstreeks op grond van die gegevens of indirect in combinatie met andere informatie kan worden geïdentificeerd. Wij bewaren sommige of alle van de volgende soorten persoonsgegevens met betrekking tot u, die aan ons zijn verstrekt door het Bedrijf in de Enquête Bedrijfsonderzoek Wederverkoper of gedurende de looptijd van de distributieregeling tussen het Bedrijf en Teleflex</w:t>
      </w:r>
      <w:r>
        <w:rPr>
          <w:color w:val="333333"/>
        </w:rPr>
        <w:t>:</w:t>
      </w:r>
    </w:p>
    <w:p w14:paraId="1EDC9D20" w14:textId="697DCAF9" w:rsidR="00480F9E" w:rsidRPr="0097748E" w:rsidRDefault="00480F9E" w:rsidP="00CA56AC">
      <w:pPr>
        <w:pStyle w:val="ListParagraph"/>
        <w:numPr>
          <w:ilvl w:val="0"/>
          <w:numId w:val="10"/>
        </w:numPr>
        <w:spacing w:before="100" w:beforeAutospacing="1" w:after="100" w:afterAutospacing="1" w:line="240" w:lineRule="auto"/>
        <w:contextualSpacing/>
        <w:rPr>
          <w:szCs w:val="24"/>
        </w:rPr>
      </w:pPr>
      <w:r>
        <w:t>naam, zakelijke contactgegevens, waaronder e-mailadres en telefoonnummer;</w:t>
      </w:r>
    </w:p>
    <w:p w14:paraId="4FA0DE52" w14:textId="77777777" w:rsidR="00480F9E" w:rsidRPr="0097748E" w:rsidRDefault="00480F9E" w:rsidP="00CA56AC">
      <w:pPr>
        <w:pStyle w:val="ListParagraph"/>
        <w:spacing w:before="100" w:beforeAutospacing="1" w:after="100" w:afterAutospacing="1" w:line="240" w:lineRule="auto"/>
        <w:contextualSpacing/>
        <w:rPr>
          <w:szCs w:val="24"/>
          <w:lang w:val="en" w:eastAsia="en-IE"/>
        </w:rPr>
      </w:pPr>
    </w:p>
    <w:p w14:paraId="2EFECAD0" w14:textId="4B9166B3" w:rsidR="00CF134A" w:rsidRPr="0097748E" w:rsidRDefault="00CF134A" w:rsidP="00CA56AC">
      <w:pPr>
        <w:pStyle w:val="ListParagraph"/>
        <w:numPr>
          <w:ilvl w:val="0"/>
          <w:numId w:val="10"/>
        </w:numPr>
        <w:spacing w:before="100" w:beforeAutospacing="1" w:after="100" w:afterAutospacing="1" w:line="240" w:lineRule="auto"/>
        <w:contextualSpacing/>
        <w:rPr>
          <w:szCs w:val="24"/>
        </w:rPr>
      </w:pPr>
      <w:r>
        <w:t xml:space="preserve">als u tien procent (10%) of meer van het Bedrijf bezit, verzamelen we uw naam, titel, nationaliteit en aandeelhouderspercentage; </w:t>
      </w:r>
    </w:p>
    <w:p w14:paraId="4D9697EF" w14:textId="77777777" w:rsidR="00A71957" w:rsidRPr="0097748E" w:rsidRDefault="00A71957" w:rsidP="00CA56AC">
      <w:pPr>
        <w:pStyle w:val="ListParagraph"/>
        <w:spacing w:before="100" w:beforeAutospacing="1" w:after="100" w:afterAutospacing="1" w:line="240" w:lineRule="auto"/>
        <w:contextualSpacing/>
        <w:rPr>
          <w:szCs w:val="24"/>
          <w:lang w:val="en" w:eastAsia="en-IE"/>
        </w:rPr>
      </w:pPr>
    </w:p>
    <w:p w14:paraId="5007244A" w14:textId="432AD8A3" w:rsidR="00A53307" w:rsidRPr="0097748E" w:rsidRDefault="00A53307" w:rsidP="00CA56AC">
      <w:pPr>
        <w:pStyle w:val="ListParagraph"/>
        <w:numPr>
          <w:ilvl w:val="0"/>
          <w:numId w:val="10"/>
        </w:numPr>
        <w:spacing w:before="100" w:beforeAutospacing="1" w:after="100" w:afterAutospacing="1" w:line="240" w:lineRule="auto"/>
        <w:contextualSpacing/>
        <w:rPr>
          <w:szCs w:val="24"/>
        </w:rPr>
      </w:pPr>
      <w:r>
        <w:t>als u directeur of functionaris van het Bedrijf bent, verzamelen we uw gegevens betreffende uw naam, titel, het aantal jaren dat u bent verbonden aan het Bedrijf, adres, paspoortnummer en nationaliteit;</w:t>
      </w:r>
    </w:p>
    <w:p w14:paraId="254F8F7B" w14:textId="77777777" w:rsidR="00A71957" w:rsidRPr="0097748E" w:rsidRDefault="00A71957" w:rsidP="00CA56AC">
      <w:pPr>
        <w:pStyle w:val="ListParagraph"/>
        <w:spacing w:before="100" w:beforeAutospacing="1" w:after="100" w:afterAutospacing="1" w:line="240" w:lineRule="auto"/>
        <w:contextualSpacing/>
        <w:rPr>
          <w:szCs w:val="24"/>
          <w:lang w:val="en" w:eastAsia="en-IE"/>
        </w:rPr>
      </w:pPr>
    </w:p>
    <w:p w14:paraId="52F3E093" w14:textId="7FFC0CAA" w:rsidR="00D64B55" w:rsidRPr="0097748E" w:rsidRDefault="00F64DE8" w:rsidP="00CA56AC">
      <w:pPr>
        <w:pStyle w:val="ListParagraph"/>
        <w:numPr>
          <w:ilvl w:val="0"/>
          <w:numId w:val="10"/>
        </w:numPr>
        <w:spacing w:before="100" w:beforeAutospacing="1" w:after="100" w:afterAutospacing="1" w:line="240" w:lineRule="auto"/>
        <w:contextualSpacing/>
        <w:rPr>
          <w:szCs w:val="24"/>
        </w:rPr>
      </w:pPr>
      <w:r>
        <w:t xml:space="preserve">als u een huidige of voormalige functionaris, directeur, partner, aanzienlijk eigenaar of werknemer van het Bedrijf bent, verzamelen we gegevens met betrekking tot (i) of u op enig moment in de afgelopen 5 jaren werknemer of functionaris geweest bent van een overheid, een overheidsinstantie of een zaak in eigendom van of anderszins gecontroleerd door een overheid; (ii) of u in verband staat met een werknemer of functionaris van een overheid, een overheidsinstantie of een bedrijf in eigendom van of anderszins gecontroleerd door een overheid; (iii) of u of een direct familielid werknemer of lid bent/is geweest van enige openbare organisatie (bijv. de Wereldbank, het Internationaal Monetair Fonds, de Verenigde Naties, de Aziatische Ontwikkelingsbank of de Europese Unie); (iv) of u enig belang heeft in, of op het punt staat op enigerlei wijze te profiteren van verkoop door het Bedrijf van Teleflex-producten; (v) of u enige zaken, kantoren of andere operaties heeft in Cuba, Iran, Libië, Noord-Korea, Soedan, Syrië of de Krim (regio van Oekraïne); (vi) of u ooit op enige zwarte lijst geplaatst bent (bijv. de U.S. Commerce Department’s Denied Persons List, Unverified List of Entity List, of de U.S. Treasury Department’s </w:t>
      </w:r>
      <w:r>
        <w:lastRenderedPageBreak/>
        <w:t>Specially Designated Nationals List); (vii) gegevens over eventuele eigendomsbelangen in andere bedrijven;</w:t>
      </w:r>
    </w:p>
    <w:p w14:paraId="52218A28" w14:textId="77777777" w:rsidR="00A71957" w:rsidRPr="0097748E" w:rsidRDefault="00A71957" w:rsidP="00CA56AC">
      <w:pPr>
        <w:pStyle w:val="ListParagraph"/>
        <w:spacing w:before="100" w:beforeAutospacing="1" w:after="100" w:afterAutospacing="1" w:line="240" w:lineRule="auto"/>
        <w:contextualSpacing/>
        <w:rPr>
          <w:szCs w:val="24"/>
          <w:lang w:val="en" w:eastAsia="en-IE"/>
        </w:rPr>
      </w:pPr>
    </w:p>
    <w:p w14:paraId="1E2E2A9C" w14:textId="77A40991" w:rsidR="0007186C" w:rsidRPr="0097748E" w:rsidRDefault="0007186C" w:rsidP="00CA56AC">
      <w:pPr>
        <w:pStyle w:val="ListParagraph"/>
        <w:numPr>
          <w:ilvl w:val="0"/>
          <w:numId w:val="10"/>
        </w:numPr>
        <w:spacing w:before="100" w:beforeAutospacing="1" w:after="100" w:afterAutospacing="1" w:line="240" w:lineRule="auto"/>
        <w:contextualSpacing/>
        <w:rPr>
          <w:szCs w:val="24"/>
        </w:rPr>
      </w:pPr>
      <w:r>
        <w:t>als u een werknemer bent die uitsluitend of voornamelijk is gericht op de verkoop van Teleflex-producten, verzamelen we gegevens als uw naam, titel en het aantal jaren bij uw werkgever, identiteits- en verificatiegegevens en ondersteunende documentatie zoals een kopie van uw paspoort;</w:t>
      </w:r>
    </w:p>
    <w:p w14:paraId="6BBDF725" w14:textId="77777777" w:rsidR="00A71957" w:rsidRPr="0097748E" w:rsidRDefault="00A71957" w:rsidP="00CA56AC">
      <w:pPr>
        <w:pStyle w:val="ListParagraph"/>
        <w:spacing w:before="100" w:beforeAutospacing="1" w:after="100" w:afterAutospacing="1" w:line="240" w:lineRule="auto"/>
        <w:contextualSpacing/>
        <w:rPr>
          <w:szCs w:val="24"/>
          <w:lang w:val="en" w:eastAsia="en-IE"/>
        </w:rPr>
      </w:pPr>
    </w:p>
    <w:p w14:paraId="510654B8" w14:textId="037ED9B6" w:rsidR="00D64B55" w:rsidRPr="0097748E" w:rsidRDefault="00F5606B" w:rsidP="00CA56AC">
      <w:pPr>
        <w:pStyle w:val="ListParagraph"/>
        <w:numPr>
          <w:ilvl w:val="0"/>
          <w:numId w:val="10"/>
        </w:numPr>
        <w:spacing w:before="100" w:beforeAutospacing="1" w:after="100" w:afterAutospacing="1" w:line="240" w:lineRule="auto"/>
        <w:contextualSpacing/>
      </w:pPr>
      <w:r>
        <w:t xml:space="preserve">we verzamelen gegevens over of u of een direct familielid lid bent/is van een politieke partij; </w:t>
      </w:r>
    </w:p>
    <w:p w14:paraId="71BF45BE" w14:textId="77777777" w:rsidR="00A71957" w:rsidRPr="0097748E" w:rsidRDefault="00A71957" w:rsidP="00CA56AC">
      <w:pPr>
        <w:pStyle w:val="ListParagraph"/>
        <w:spacing w:before="100" w:beforeAutospacing="1" w:after="100" w:afterAutospacing="1" w:line="240" w:lineRule="auto"/>
        <w:contextualSpacing/>
      </w:pPr>
    </w:p>
    <w:p w14:paraId="5789BA72" w14:textId="32AEB76D" w:rsidR="00E2163E" w:rsidRPr="0097748E" w:rsidRDefault="00F5606B" w:rsidP="00CA56AC">
      <w:pPr>
        <w:pStyle w:val="ListParagraph"/>
        <w:numPr>
          <w:ilvl w:val="0"/>
          <w:numId w:val="10"/>
        </w:numPr>
        <w:spacing w:before="100" w:beforeAutospacing="1" w:after="100" w:afterAutospacing="1" w:line="240" w:lineRule="auto"/>
        <w:contextualSpacing/>
        <w:rPr>
          <w:szCs w:val="24"/>
        </w:rPr>
      </w:pPr>
      <w:r>
        <w:t>we verzamelen mogelijk gegevens over of u ooit bent beschuldigd van, onderzocht in verband met, aangeklaagd voor, in staat van beschuldiging gesteld of veroordeeld bent wegens, schuld heeft bekend voor of zich niet heeft verweerd tegen, enige misdaad met betrekking tot omkoping of corruptie van de import, export of distributie van goederen;</w:t>
      </w:r>
    </w:p>
    <w:p w14:paraId="618338A0" w14:textId="77777777" w:rsidR="00FF6455" w:rsidRPr="0097748E" w:rsidRDefault="00FF6455" w:rsidP="00CA56AC">
      <w:pPr>
        <w:pStyle w:val="ListParagraph"/>
        <w:spacing w:before="100" w:beforeAutospacing="1" w:after="100" w:afterAutospacing="1" w:line="240" w:lineRule="auto"/>
        <w:contextualSpacing/>
        <w:rPr>
          <w:szCs w:val="24"/>
          <w:lang w:val="en" w:eastAsia="en-IE"/>
        </w:rPr>
      </w:pPr>
    </w:p>
    <w:p w14:paraId="22AE05D0" w14:textId="4CB69A70" w:rsidR="0099227D" w:rsidRPr="0097748E" w:rsidRDefault="00E2163E" w:rsidP="00CA56AC">
      <w:pPr>
        <w:pStyle w:val="ListParagraph"/>
        <w:numPr>
          <w:ilvl w:val="0"/>
          <w:numId w:val="10"/>
        </w:numPr>
        <w:spacing w:before="100" w:beforeAutospacing="1" w:after="100" w:afterAutospacing="1" w:line="240" w:lineRule="auto"/>
        <w:contextualSpacing/>
        <w:rPr>
          <w:szCs w:val="24"/>
        </w:rPr>
      </w:pPr>
      <w:r>
        <w:t xml:space="preserve">aanvullende informatie die u ons, bijvoorbeeld per e-mail of telefoon, verstrekt in het kader van due diligence of zoals is vereist in het kader van de distributieregeling tussen het Bedrijf en Teleflex. </w:t>
      </w:r>
    </w:p>
    <w:p w14:paraId="700B83D2" w14:textId="144F97E7" w:rsidR="003A04F0" w:rsidRPr="0097748E" w:rsidRDefault="003A04F0" w:rsidP="00CA56AC">
      <w:pPr>
        <w:spacing w:before="100" w:beforeAutospacing="1" w:after="100" w:afterAutospacing="1" w:line="240" w:lineRule="auto"/>
        <w:rPr>
          <w:rFonts w:eastAsiaTheme="minorHAnsi" w:cs="Arial"/>
          <w:b/>
          <w:bCs/>
          <w:color w:val="333333"/>
        </w:rPr>
      </w:pPr>
      <w:r>
        <w:rPr>
          <w:b/>
          <w:bCs/>
          <w:color w:val="333333"/>
        </w:rPr>
        <w:t xml:space="preserve">Doel van en </w:t>
      </w:r>
      <w:r>
        <w:rPr>
          <w:b/>
          <w:color w:val="333333"/>
        </w:rPr>
        <w:t xml:space="preserve">wettelijke grondslag </w:t>
      </w:r>
      <w:r>
        <w:rPr>
          <w:b/>
          <w:bCs/>
          <w:color w:val="333333"/>
        </w:rPr>
        <w:t>voor de verwerking van uw Gegevens</w:t>
      </w:r>
    </w:p>
    <w:p w14:paraId="04CD0874" w14:textId="2F5F283A" w:rsidR="003A04F0" w:rsidRPr="0097748E" w:rsidRDefault="003A04F0" w:rsidP="00CA56AC">
      <w:pPr>
        <w:spacing w:before="0" w:line="240" w:lineRule="auto"/>
        <w:rPr>
          <w:rFonts w:eastAsiaTheme="minorHAnsi" w:cs="Arial"/>
          <w:color w:val="333333"/>
        </w:rPr>
      </w:pPr>
      <w:r>
        <w:rPr>
          <w:color w:val="333333"/>
        </w:rPr>
        <w:t>Wij zullen uw persoonsgegevens voor de volgende doeleinden bewaren, verwerken en mogelijk openbaar maken:</w:t>
      </w:r>
    </w:p>
    <w:p w14:paraId="48C9F2AD" w14:textId="77777777" w:rsidR="003A04F0" w:rsidRPr="0097748E" w:rsidRDefault="003A04F0" w:rsidP="00CA56AC">
      <w:pPr>
        <w:spacing w:before="0" w:line="240"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CA56AC">
            <w:pPr>
              <w:spacing w:before="100" w:beforeAutospacing="1" w:line="240" w:lineRule="auto"/>
              <w:ind w:left="720"/>
              <w:rPr>
                <w:rFonts w:cs="Arial"/>
                <w:color w:val="333333"/>
              </w:rPr>
            </w:pPr>
            <w:r>
              <w:rPr>
                <w:color w:val="333333"/>
              </w:rPr>
              <w:t>Doel van verwerking</w:t>
            </w:r>
          </w:p>
        </w:tc>
        <w:tc>
          <w:tcPr>
            <w:tcW w:w="4913" w:type="dxa"/>
          </w:tcPr>
          <w:p w14:paraId="0763EFE5" w14:textId="467B1B98" w:rsidR="003A04F0" w:rsidRPr="0097748E" w:rsidRDefault="003A04F0" w:rsidP="00CA56AC">
            <w:pPr>
              <w:spacing w:before="100" w:beforeAutospacing="1" w:line="240" w:lineRule="auto"/>
              <w:ind w:left="411"/>
              <w:rPr>
                <w:rFonts w:cs="Arial"/>
                <w:color w:val="333333"/>
              </w:rPr>
            </w:pPr>
            <w:r>
              <w:rPr>
                <w:color w:val="333333"/>
              </w:rPr>
              <w:t>Wettelijke grondslag voor verwerking</w:t>
            </w:r>
          </w:p>
        </w:tc>
      </w:tr>
      <w:tr w:rsidR="009B3B32" w:rsidRPr="0097748E" w14:paraId="32C9E909" w14:textId="77777777" w:rsidTr="006E08C7">
        <w:tc>
          <w:tcPr>
            <w:tcW w:w="4965" w:type="dxa"/>
          </w:tcPr>
          <w:p w14:paraId="14ECF362" w14:textId="7B84F318" w:rsidR="009B3B32" w:rsidRPr="0097748E" w:rsidRDefault="007F27C9" w:rsidP="00CA56AC">
            <w:pPr>
              <w:spacing w:before="100" w:beforeAutospacing="1" w:after="100" w:afterAutospacing="1" w:line="240" w:lineRule="auto"/>
              <w:rPr>
                <w:szCs w:val="24"/>
              </w:rPr>
            </w:pPr>
            <w:r>
              <w:t xml:space="preserve">het uitvoeren en voltooien van onze due-diligence- en screeningsprocessen, met inbegrip van het uitvoeren van zoekopdrachten en het vaststellen van uw identiteit om er zeker van te zijn dat uw naam niet voorkomt op enige van de in </w:t>
            </w:r>
            <w:r>
              <w:rPr>
                <w:b/>
                <w:szCs w:val="24"/>
              </w:rPr>
              <w:t>Bijlage 2</w:t>
            </w:r>
            <w:r>
              <w:t xml:space="preserve"> vermelde lijsten, met inbegrip van lijsten van boetes of andere sancties, of een zwarte lijst.</w:t>
            </w:r>
          </w:p>
        </w:tc>
        <w:tc>
          <w:tcPr>
            <w:tcW w:w="4913" w:type="dxa"/>
          </w:tcPr>
          <w:p w14:paraId="6141C25A" w14:textId="10C3B86B" w:rsidR="00550486" w:rsidRPr="0097748E" w:rsidRDefault="009F1B83" w:rsidP="00CA56AC">
            <w:pPr>
              <w:numPr>
                <w:ilvl w:val="0"/>
                <w:numId w:val="12"/>
              </w:numPr>
              <w:spacing w:before="100" w:beforeAutospacing="1" w:line="240" w:lineRule="auto"/>
              <w:rPr>
                <w:rFonts w:cs="Arial"/>
                <w:color w:val="333333"/>
              </w:rPr>
            </w:pPr>
            <w:r>
              <w:rPr>
                <w:color w:val="333333"/>
              </w:rPr>
              <w:t xml:space="preserve">Deze verwerking zal worden uitgevoerd op basis van uw </w:t>
            </w:r>
            <w:r>
              <w:rPr>
                <w:b/>
                <w:color w:val="333333"/>
              </w:rPr>
              <w:t>uitdrukkelijke toestemming</w:t>
            </w:r>
            <w:r>
              <w:rPr>
                <w:color w:val="333333"/>
              </w:rPr>
              <w:t>. U kunt uw toestemming op elk moment intrekken door contact met ons op te nemen (zie hieronder: “Neem contact met ons op”)</w:t>
            </w:r>
          </w:p>
        </w:tc>
      </w:tr>
      <w:tr w:rsidR="005A08A2" w:rsidRPr="0097748E" w14:paraId="27DE21D1" w14:textId="77777777" w:rsidTr="006E08C7">
        <w:tc>
          <w:tcPr>
            <w:tcW w:w="4965" w:type="dxa"/>
          </w:tcPr>
          <w:p w14:paraId="6BC57B5B" w14:textId="3D1B4CD7" w:rsidR="009A2DFF" w:rsidRPr="0097748E" w:rsidRDefault="005A08A2" w:rsidP="00CA56AC">
            <w:pPr>
              <w:spacing w:line="240" w:lineRule="auto"/>
            </w:pPr>
            <w:r>
              <w:t>het aan u verstrekken van informatie in verband met het due-diligenceproces van onze zakelijke relatie;</w:t>
            </w:r>
          </w:p>
          <w:p w14:paraId="570E6DB6" w14:textId="5B5F9D02" w:rsidR="00F953B5" w:rsidRPr="0097748E" w:rsidRDefault="00BE1154" w:rsidP="00CA56AC">
            <w:pPr>
              <w:spacing w:line="240" w:lineRule="auto"/>
              <w:rPr>
                <w:szCs w:val="24"/>
              </w:rPr>
            </w:pPr>
            <w:r>
              <w:t>het op de hoogte stellen van u over veranderingen in onze zakelijke overeenkomst;</w:t>
            </w:r>
          </w:p>
          <w:p w14:paraId="720E338C" w14:textId="5EC44E97" w:rsidR="00F953B5" w:rsidRPr="0097748E" w:rsidRDefault="00BE1154" w:rsidP="00CA56AC">
            <w:pPr>
              <w:spacing w:line="240" w:lineRule="auto"/>
              <w:rPr>
                <w:szCs w:val="24"/>
              </w:rPr>
            </w:pPr>
            <w:r>
              <w:t>de uitvoering van de zakelijke overeenkomst tussen ons en het Bedrijf;</w:t>
            </w:r>
          </w:p>
          <w:p w14:paraId="6208A6E3" w14:textId="2C07E394" w:rsidR="00BE1154" w:rsidRPr="0097748E" w:rsidRDefault="00BE1154" w:rsidP="00CA56AC">
            <w:pPr>
              <w:spacing w:line="240" w:lineRule="auto"/>
              <w:rPr>
                <w:szCs w:val="24"/>
              </w:rPr>
            </w:pPr>
            <w:r>
              <w:t>het voltooien van en meewerken aan audits.</w:t>
            </w:r>
          </w:p>
        </w:tc>
        <w:tc>
          <w:tcPr>
            <w:tcW w:w="4913" w:type="dxa"/>
          </w:tcPr>
          <w:p w14:paraId="00F73CA4" w14:textId="7E7DA274" w:rsidR="005A08A2" w:rsidRPr="0097748E" w:rsidRDefault="00BE1154" w:rsidP="00CA56AC">
            <w:pPr>
              <w:numPr>
                <w:ilvl w:val="0"/>
                <w:numId w:val="12"/>
              </w:numPr>
              <w:spacing w:line="240" w:lineRule="auto"/>
              <w:rPr>
                <w:rFonts w:cs="Arial"/>
                <w:color w:val="333333"/>
              </w:rPr>
            </w:pPr>
            <w:r>
              <w:rPr>
                <w:color w:val="333333"/>
              </w:rPr>
              <w:t>Dit gebruik van uw gegevens is nodig voor ons gerechtvaardigde zakelijke belang met betrekking tot onze bedrijfsvoering, voor onder meer juridische, personeels-, administratieve en managementdoeleinden, en voor de preventie en opsporing van misdrijven.</w:t>
            </w:r>
            <w:r w:rsidR="00126B87">
              <w:rPr>
                <w:color w:val="333333"/>
              </w:rPr>
              <w:t xml:space="preserve"> </w:t>
            </w:r>
            <w:r>
              <w:rPr>
                <w:color w:val="333333"/>
              </w:rPr>
              <w:t>Wij hebben een afwegingstoets toegepast om er zeker van te zijn dat uw belangen dit gerechtvaardigde zakelijke belang onzerzijds niet te niet doen.</w:t>
            </w:r>
            <w:r w:rsidR="00126B87">
              <w:rPr>
                <w:color w:val="333333"/>
              </w:rPr>
              <w:t xml:space="preserve"> </w:t>
            </w:r>
            <w:r>
              <w:rPr>
                <w:color w:val="333333"/>
              </w:rPr>
              <w:t xml:space="preserve">Voor meer informatie over deze door Teleflex toegepaste afwegingstoets kunt u contact opnemen met PrivacyOfficial@teleflex.com. </w:t>
            </w:r>
            <w:r>
              <w:rPr>
                <w:b/>
                <w:color w:val="333333"/>
              </w:rPr>
              <w:t xml:space="preserve">U heeft het recht bezwaar te maken tegen de verwerking van uw persoonsgegevens wanneer die verwerking wordt uitgevoerd met het oog op een gerechtvaardigd belang onzerzijds. </w:t>
            </w:r>
          </w:p>
        </w:tc>
      </w:tr>
    </w:tbl>
    <w:p w14:paraId="52985091" w14:textId="77777777" w:rsidR="0040176E" w:rsidRPr="0097748E" w:rsidRDefault="0040176E" w:rsidP="00CA56AC">
      <w:pPr>
        <w:spacing w:before="0" w:after="100" w:afterAutospacing="1" w:line="240" w:lineRule="auto"/>
        <w:rPr>
          <w:b/>
          <w:szCs w:val="24"/>
          <w:lang w:val="en" w:eastAsia="en-IE"/>
        </w:rPr>
      </w:pPr>
    </w:p>
    <w:p w14:paraId="11FDAE45" w14:textId="77777777" w:rsidR="00A75A13" w:rsidRPr="0097748E" w:rsidRDefault="00A75A13" w:rsidP="00CA56AC">
      <w:pPr>
        <w:spacing w:before="0" w:after="100" w:afterAutospacing="1" w:line="240" w:lineRule="auto"/>
        <w:rPr>
          <w:b/>
          <w:szCs w:val="24"/>
        </w:rPr>
      </w:pPr>
      <w:r>
        <w:rPr>
          <w:b/>
          <w:szCs w:val="24"/>
        </w:rPr>
        <w:t xml:space="preserve">Bijzondere categorieën van persoonsgegevens </w:t>
      </w:r>
    </w:p>
    <w:p w14:paraId="1C1849B8" w14:textId="77777777" w:rsidR="00A75A13" w:rsidRPr="0097748E" w:rsidRDefault="00A75A13" w:rsidP="00CA56AC">
      <w:pPr>
        <w:spacing w:before="100" w:beforeAutospacing="1" w:after="100" w:afterAutospacing="1" w:line="240" w:lineRule="auto"/>
        <w:rPr>
          <w:szCs w:val="24"/>
        </w:rPr>
      </w:pPr>
      <w:r>
        <w:t xml:space="preserve">Bepaalde categorieën van uw persoonsgegevens worden aangemerkt als 'bijzonder'. Bijzondere gegevens omvatten informatie over de volgende aspecten van een persoon: </w:t>
      </w:r>
    </w:p>
    <w:p w14:paraId="2CE1C7DF" w14:textId="6DE2DF26" w:rsidR="00434CF7" w:rsidRPr="0097748E" w:rsidRDefault="00A75A13" w:rsidP="00CA56AC">
      <w:pPr>
        <w:spacing w:before="100" w:beforeAutospacing="1" w:after="100" w:afterAutospacing="1" w:line="240" w:lineRule="auto"/>
        <w:rPr>
          <w:szCs w:val="24"/>
        </w:rPr>
      </w:pPr>
      <w:r>
        <w:t>•</w:t>
      </w:r>
      <w:r>
        <w:tab/>
        <w:t xml:space="preserve">lichamelijke of geestelijke gezondheid; </w:t>
      </w:r>
    </w:p>
    <w:p w14:paraId="692002EC" w14:textId="77777777" w:rsidR="00A75A13" w:rsidRPr="0097748E" w:rsidRDefault="00A75A13" w:rsidP="00CA56AC">
      <w:pPr>
        <w:spacing w:before="100" w:beforeAutospacing="1" w:after="100" w:afterAutospacing="1" w:line="240" w:lineRule="auto"/>
        <w:rPr>
          <w:szCs w:val="24"/>
        </w:rPr>
      </w:pPr>
      <w:r>
        <w:t>•</w:t>
      </w:r>
      <w:r>
        <w:tab/>
        <w:t xml:space="preserve">religieuze of levensbeschouwelijke overtuigingen of politieke opvattingen; </w:t>
      </w:r>
    </w:p>
    <w:p w14:paraId="0C1D025C" w14:textId="77777777" w:rsidR="00A75A13" w:rsidRPr="0097748E" w:rsidRDefault="00A75A13" w:rsidP="00CA56AC">
      <w:pPr>
        <w:spacing w:before="100" w:beforeAutospacing="1" w:after="100" w:afterAutospacing="1" w:line="240" w:lineRule="auto"/>
        <w:rPr>
          <w:szCs w:val="24"/>
        </w:rPr>
      </w:pPr>
      <w:r>
        <w:t>•</w:t>
      </w:r>
      <w:r>
        <w:tab/>
        <w:t>lidmaatschap van een vakbond;</w:t>
      </w:r>
    </w:p>
    <w:p w14:paraId="4FF0491B" w14:textId="77777777" w:rsidR="00A75A13" w:rsidRPr="0097748E" w:rsidRDefault="00A75A13" w:rsidP="00CA56AC">
      <w:pPr>
        <w:spacing w:before="100" w:beforeAutospacing="1" w:after="100" w:afterAutospacing="1" w:line="240" w:lineRule="auto"/>
        <w:rPr>
          <w:szCs w:val="24"/>
        </w:rPr>
      </w:pPr>
      <w:r>
        <w:lastRenderedPageBreak/>
        <w:t>•</w:t>
      </w:r>
      <w:r>
        <w:tab/>
        <w:t xml:space="preserve">ras of etnische afkomst; </w:t>
      </w:r>
    </w:p>
    <w:p w14:paraId="503167CD" w14:textId="77777777" w:rsidR="00A75A13" w:rsidRPr="0097748E" w:rsidRDefault="00A75A13" w:rsidP="00CA56AC">
      <w:pPr>
        <w:spacing w:before="100" w:beforeAutospacing="1" w:after="100" w:afterAutospacing="1" w:line="240" w:lineRule="auto"/>
        <w:rPr>
          <w:szCs w:val="24"/>
        </w:rPr>
      </w:pPr>
      <w:r>
        <w:t>•</w:t>
      </w:r>
      <w:r>
        <w:tab/>
        <w:t>biometrische of genetische gegevens; en</w:t>
      </w:r>
    </w:p>
    <w:p w14:paraId="47069AD0" w14:textId="1267F8E5" w:rsidR="00A75A13" w:rsidRPr="0097748E" w:rsidRDefault="00A75A13" w:rsidP="00CA56AC">
      <w:pPr>
        <w:spacing w:before="100" w:beforeAutospacing="1" w:after="100" w:afterAutospacing="1" w:line="240" w:lineRule="auto"/>
        <w:rPr>
          <w:szCs w:val="24"/>
        </w:rPr>
      </w:pPr>
      <w:r>
        <w:t>•</w:t>
      </w:r>
      <w:r>
        <w:tab/>
        <w:t>seksuele geaardheid.</w:t>
      </w:r>
    </w:p>
    <w:p w14:paraId="139EAFBF" w14:textId="3B9AC27C" w:rsidR="00BF02D2" w:rsidRPr="0097748E" w:rsidRDefault="00BF02D2" w:rsidP="00CA56AC">
      <w:pPr>
        <w:spacing w:before="100" w:beforeAutospacing="1" w:after="100" w:afterAutospacing="1" w:line="240" w:lineRule="auto"/>
        <w:rPr>
          <w:b/>
          <w:bCs/>
          <w:szCs w:val="24"/>
        </w:rPr>
      </w:pPr>
      <w:r>
        <w:rPr>
          <w:b/>
          <w:bCs/>
          <w:szCs w:val="24"/>
        </w:rPr>
        <w:t xml:space="preserve">Doel van en </w:t>
      </w:r>
      <w:r>
        <w:rPr>
          <w:b/>
          <w:szCs w:val="24"/>
        </w:rPr>
        <w:t xml:space="preserve">wettelijke grondslag </w:t>
      </w:r>
      <w:r>
        <w:rPr>
          <w:b/>
          <w:bCs/>
          <w:szCs w:val="24"/>
        </w:rPr>
        <w:t>voor de verwerking van uw bijzondere gegevens</w:t>
      </w:r>
    </w:p>
    <w:p w14:paraId="49C8FA8B" w14:textId="77777777" w:rsidR="00BF02D2" w:rsidRPr="0097748E" w:rsidRDefault="00BF02D2" w:rsidP="00CA56AC">
      <w:pPr>
        <w:spacing w:before="100" w:beforeAutospacing="1" w:after="100" w:afterAutospacing="1" w:line="240" w:lineRule="auto"/>
        <w:rPr>
          <w:szCs w:val="24"/>
        </w:rPr>
      </w:pPr>
      <w:r>
        <w:t>Wij zullen uw persoonsgegevens voor de volgende doeleinden bewaren, verwerken en mogelijk openbaar maken:</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CA56AC">
            <w:pPr>
              <w:spacing w:before="100" w:beforeAutospacing="1" w:after="100" w:afterAutospacing="1" w:line="240" w:lineRule="auto"/>
              <w:rPr>
                <w:szCs w:val="24"/>
              </w:rPr>
            </w:pPr>
            <w:r>
              <w:t>Doel van verwerking</w:t>
            </w:r>
          </w:p>
        </w:tc>
        <w:tc>
          <w:tcPr>
            <w:tcW w:w="4913" w:type="dxa"/>
          </w:tcPr>
          <w:p w14:paraId="1A1BD8E2" w14:textId="7507EBB8" w:rsidR="00BF02D2" w:rsidRPr="0097748E" w:rsidRDefault="00BF02D2" w:rsidP="00CA56AC">
            <w:pPr>
              <w:spacing w:before="100" w:beforeAutospacing="1" w:after="100" w:afterAutospacing="1" w:line="240" w:lineRule="auto"/>
              <w:rPr>
                <w:szCs w:val="24"/>
              </w:rPr>
            </w:pPr>
            <w:r>
              <w:t>Wettelijke grondslag voor verwerking</w:t>
            </w:r>
          </w:p>
        </w:tc>
      </w:tr>
      <w:tr w:rsidR="00BF02D2" w:rsidRPr="0097748E" w14:paraId="48528C9D" w14:textId="77777777" w:rsidTr="006E08C7">
        <w:tc>
          <w:tcPr>
            <w:tcW w:w="4965" w:type="dxa"/>
          </w:tcPr>
          <w:p w14:paraId="1C9D30C8" w14:textId="42B14642" w:rsidR="00BF02D2" w:rsidRPr="0097748E" w:rsidRDefault="00BF02D2" w:rsidP="00CA56AC">
            <w:pPr>
              <w:spacing w:before="100" w:beforeAutospacing="1" w:after="100" w:afterAutospacing="1" w:line="240" w:lineRule="auto"/>
              <w:rPr>
                <w:szCs w:val="24"/>
              </w:rPr>
            </w:pPr>
            <w:r>
              <w:t xml:space="preserve">het uitvoeren en voltooien van due-diligence- en screeningsprocessen, met inbegrip van het uitvoeren van zoekopdrachten en het vaststellen van uw identiteit om er zeker van te zijn dat uw naam niet voorkomt op enige in </w:t>
            </w:r>
            <w:r>
              <w:rPr>
                <w:b/>
                <w:szCs w:val="24"/>
              </w:rPr>
              <w:t>Bijlage 2</w:t>
            </w:r>
            <w:r>
              <w:t xml:space="preserve"> vermelde lijsten, met inbegrip van lijsten van boetes of andere sancties, of een zwarte lijst. </w:t>
            </w:r>
          </w:p>
        </w:tc>
        <w:tc>
          <w:tcPr>
            <w:tcW w:w="4913" w:type="dxa"/>
          </w:tcPr>
          <w:p w14:paraId="26C0AA50" w14:textId="63D0CB9E" w:rsidR="00BF02D2" w:rsidRPr="0097748E" w:rsidRDefault="0040176E" w:rsidP="00CA56AC">
            <w:pPr>
              <w:pStyle w:val="ListParagraph"/>
              <w:numPr>
                <w:ilvl w:val="0"/>
                <w:numId w:val="12"/>
              </w:numPr>
              <w:spacing w:before="100" w:beforeAutospacing="1" w:after="100" w:afterAutospacing="1" w:line="240" w:lineRule="auto"/>
              <w:rPr>
                <w:szCs w:val="24"/>
              </w:rPr>
            </w:pPr>
            <w:r>
              <w:t xml:space="preserve">Deze verwerking zal worden uitgevoerd op basis van uw </w:t>
            </w:r>
            <w:r>
              <w:rPr>
                <w:b/>
                <w:szCs w:val="24"/>
              </w:rPr>
              <w:t>uitdrukkelijke toestemming</w:t>
            </w:r>
            <w:r>
              <w:t>. U kunt uw toestemming op elk moment intrekken door contact met ons op te nemen (zie hieronder: “Neem contact met ons op”)</w:t>
            </w:r>
          </w:p>
        </w:tc>
      </w:tr>
    </w:tbl>
    <w:p w14:paraId="13D89D58" w14:textId="3B23E8E3" w:rsidR="00201815" w:rsidRPr="0097748E" w:rsidRDefault="00C75802" w:rsidP="00CA56AC">
      <w:pPr>
        <w:spacing w:before="100" w:beforeAutospacing="1" w:after="100" w:afterAutospacing="1" w:line="240" w:lineRule="auto"/>
        <w:rPr>
          <w:b/>
          <w:bCs/>
          <w:szCs w:val="27"/>
        </w:rPr>
      </w:pPr>
      <w:r>
        <w:t>We zullen uw Gegevens niet langer bewaren dan nodig is voor de doeleinden van ons due-diligenceproces, voor zolang de betrokken diensten worden geleverd (indien van toepassing), of zoals wettelijk is vereist.</w:t>
      </w:r>
    </w:p>
    <w:p w14:paraId="631AAC7A" w14:textId="6BAA1E22" w:rsidR="00CF4428" w:rsidRPr="0097748E" w:rsidRDefault="00201815" w:rsidP="00CA56AC">
      <w:pPr>
        <w:spacing w:before="100" w:beforeAutospacing="1" w:after="100" w:afterAutospacing="1" w:line="240" w:lineRule="auto"/>
        <w:rPr>
          <w:szCs w:val="24"/>
        </w:rPr>
      </w:pPr>
      <w:r>
        <w:rPr>
          <w:b/>
          <w:bCs/>
          <w:szCs w:val="27"/>
        </w:rPr>
        <w:t>Ontvangers van uw persoonsgegevens</w:t>
      </w:r>
    </w:p>
    <w:p w14:paraId="096F3D46" w14:textId="139A4332" w:rsidR="00DD0F28" w:rsidRPr="0097748E" w:rsidRDefault="00DD0F28" w:rsidP="00CA56AC">
      <w:pPr>
        <w:spacing w:before="100" w:beforeAutospacing="1" w:after="100" w:afterAutospacing="1" w:line="240" w:lineRule="auto"/>
        <w:rPr>
          <w:szCs w:val="24"/>
        </w:rPr>
      </w:pPr>
      <w:r>
        <w:t>We kunnen de Gegevens die we verzamelen zoals omschreven in deze Verklaring Gegevensbescherming openbaar maken aan derde partijen of tussenpersonen, met inbegrip van maar niet beperkt tot:</w:t>
      </w:r>
    </w:p>
    <w:p w14:paraId="0B8E58C9" w14:textId="2F11DD76" w:rsidR="00DD0F28" w:rsidRPr="0097748E" w:rsidRDefault="00EF13F3" w:rsidP="00CA56AC">
      <w:pPr>
        <w:numPr>
          <w:ilvl w:val="0"/>
          <w:numId w:val="8"/>
        </w:numPr>
        <w:spacing w:before="100" w:beforeAutospacing="1" w:after="100" w:afterAutospacing="1" w:line="240" w:lineRule="auto"/>
        <w:jc w:val="left"/>
        <w:rPr>
          <w:szCs w:val="24"/>
        </w:rPr>
      </w:pPr>
      <w:r>
        <w:t>met ons verbonden ondernemingen, namelijk dochterondernemingen van Teleflex Incorporated;</w:t>
      </w:r>
    </w:p>
    <w:p w14:paraId="25B783F8" w14:textId="1451027E" w:rsidR="00F21051" w:rsidRPr="0097748E" w:rsidRDefault="00F21051" w:rsidP="00CA56AC">
      <w:pPr>
        <w:numPr>
          <w:ilvl w:val="0"/>
          <w:numId w:val="8"/>
        </w:numPr>
        <w:spacing w:before="100" w:beforeAutospacing="1" w:after="100" w:afterAutospacing="1" w:line="240" w:lineRule="auto"/>
        <w:jc w:val="left"/>
        <w:rPr>
          <w:szCs w:val="24"/>
        </w:rPr>
      </w:pPr>
      <w:r>
        <w:t xml:space="preserve">aannemers, zoals gereglementeerde aannemers, belastingadviseurs, accountants en verkoopagenten; </w:t>
      </w:r>
    </w:p>
    <w:p w14:paraId="2076554D" w14:textId="2B0D2EC6" w:rsidR="00F21051" w:rsidRPr="0097748E" w:rsidRDefault="00190E21" w:rsidP="00CA56AC">
      <w:pPr>
        <w:numPr>
          <w:ilvl w:val="0"/>
          <w:numId w:val="8"/>
        </w:numPr>
        <w:spacing w:before="100" w:beforeAutospacing="1" w:after="100" w:afterAutospacing="1" w:line="240" w:lineRule="auto"/>
        <w:jc w:val="left"/>
        <w:rPr>
          <w:szCs w:val="24"/>
        </w:rPr>
      </w:pPr>
      <w:r>
        <w:t>dienstverleners, zoals leveranciers op het gebied van salarisadministratie en informatietechnologie (IT);</w:t>
      </w:r>
    </w:p>
    <w:p w14:paraId="50E8F058" w14:textId="3E2F6D13" w:rsidR="00F21051" w:rsidRPr="0097748E" w:rsidRDefault="00091645" w:rsidP="00CA56AC">
      <w:pPr>
        <w:numPr>
          <w:ilvl w:val="0"/>
          <w:numId w:val="8"/>
        </w:numPr>
        <w:spacing w:before="100" w:beforeAutospacing="1" w:after="100" w:afterAutospacing="1" w:line="240" w:lineRule="auto"/>
        <w:jc w:val="left"/>
        <w:rPr>
          <w:szCs w:val="24"/>
        </w:rPr>
      </w:pPr>
      <w:r>
        <w:t>juridisch adviseurs, teneinde te voldoen aan onze wettelijke verplichtingen, advies in te winnen en ons te verweren tegen eventuele rechtsvorderingen;</w:t>
      </w:r>
    </w:p>
    <w:p w14:paraId="05663C43" w14:textId="72FE6D0D" w:rsidR="00883B2B" w:rsidRPr="0097748E" w:rsidRDefault="00883B2B" w:rsidP="00CA56AC">
      <w:pPr>
        <w:numPr>
          <w:ilvl w:val="0"/>
          <w:numId w:val="8"/>
        </w:numPr>
        <w:spacing w:before="100" w:beforeAutospacing="1" w:after="100" w:afterAutospacing="1" w:line="240" w:lineRule="auto"/>
        <w:jc w:val="left"/>
        <w:rPr>
          <w:szCs w:val="24"/>
        </w:rPr>
      </w:pPr>
      <w:r>
        <w:t>verzekeraars, teneinde te voldoen aan onze wettelijke verplichtingen, advies in te winnen en ons te verweren tegen eventuele vorderingen;</w:t>
      </w:r>
    </w:p>
    <w:p w14:paraId="636730B6" w14:textId="179564DE" w:rsidR="00F21051" w:rsidRPr="0097748E" w:rsidRDefault="00091645" w:rsidP="00CA56AC">
      <w:pPr>
        <w:numPr>
          <w:ilvl w:val="0"/>
          <w:numId w:val="8"/>
        </w:numPr>
        <w:spacing w:before="100" w:beforeAutospacing="1" w:after="100" w:afterAutospacing="1" w:line="240" w:lineRule="auto"/>
        <w:jc w:val="left"/>
        <w:rPr>
          <w:szCs w:val="24"/>
        </w:rPr>
      </w:pPr>
      <w:r>
        <w:t>accountants, teneinde te voldoen aan onze wettelijke verplichtingen;</w:t>
      </w:r>
    </w:p>
    <w:p w14:paraId="6EF0CCE4" w14:textId="3D15698E" w:rsidR="00DD0F28" w:rsidRPr="0097748E" w:rsidRDefault="00DD0F28" w:rsidP="00CA56AC">
      <w:pPr>
        <w:numPr>
          <w:ilvl w:val="0"/>
          <w:numId w:val="8"/>
        </w:numPr>
        <w:spacing w:before="100" w:beforeAutospacing="1" w:after="100" w:afterAutospacing="1" w:line="240" w:lineRule="auto"/>
        <w:jc w:val="left"/>
        <w:rPr>
          <w:szCs w:val="24"/>
        </w:rPr>
      </w:pPr>
      <w:r>
        <w:t xml:space="preserve">andere derde partijen die wij inschakelen om ons bedrijf, het due-diligenceproces en het beheer van de zakelijke relatie te ondersteunen, zoals KPMG en Dun &amp; Bradstreet; </w:t>
      </w:r>
    </w:p>
    <w:p w14:paraId="75631416" w14:textId="28EAB8CB" w:rsidR="00EF13F3" w:rsidRPr="0097748E" w:rsidRDefault="00F21051" w:rsidP="00CA56AC">
      <w:pPr>
        <w:numPr>
          <w:ilvl w:val="0"/>
          <w:numId w:val="8"/>
        </w:numPr>
        <w:spacing w:before="100" w:beforeAutospacing="1" w:after="100" w:afterAutospacing="1" w:line="240" w:lineRule="auto"/>
        <w:jc w:val="left"/>
        <w:rPr>
          <w:szCs w:val="24"/>
        </w:rPr>
      </w:pPr>
      <w:r>
        <w:t>een koper of andere opvolger in het geval van fusie, afstoting, herstructurering, reorganisatie, ontbinding of een andere verkoop of overdracht van sommige of alle zaken van Teleflex en zijn verbonden maatschappijen, ofwel als ‘going concern’ ofwel in het kader van een faillissement, liquidatie of vergelijkbare procedure, waarbij de Gegevens die door ons over onze dienstverleners worden bewaard, behoort tot de activa die worden overgedragen.</w:t>
      </w:r>
    </w:p>
    <w:p w14:paraId="7CFE608B" w14:textId="75068FE4" w:rsidR="00C9139A" w:rsidRPr="0097748E" w:rsidRDefault="00DD0F28" w:rsidP="00CA56AC">
      <w:pPr>
        <w:spacing w:before="100" w:beforeAutospacing="1" w:after="100" w:afterAutospacing="1" w:line="240" w:lineRule="auto"/>
        <w:rPr>
          <w:szCs w:val="24"/>
        </w:rPr>
      </w:pPr>
      <w:r>
        <w:t>We kunnen de Gegevens ook openbaar maken:</w:t>
      </w:r>
    </w:p>
    <w:p w14:paraId="5EE93D12" w14:textId="22A4473E" w:rsidR="00C9139A" w:rsidRPr="0097748E" w:rsidRDefault="00DD0F28" w:rsidP="00CA56AC">
      <w:pPr>
        <w:pStyle w:val="ListParagraph"/>
        <w:numPr>
          <w:ilvl w:val="0"/>
          <w:numId w:val="9"/>
        </w:numPr>
        <w:spacing w:before="100" w:beforeAutospacing="1" w:after="100" w:afterAutospacing="1" w:line="240" w:lineRule="auto"/>
        <w:jc w:val="left"/>
        <w:rPr>
          <w:szCs w:val="24"/>
        </w:rPr>
      </w:pPr>
      <w:r>
        <w:t>om gehoor te geven aan enig gerechtelijk bevel, wet of rechtsvoering, ook naar aanleiding van enig verzoek van de overheid of regelgevend orgaan; en/of</w:t>
      </w:r>
    </w:p>
    <w:p w14:paraId="5BAFADFD" w14:textId="6AE2813E" w:rsidR="00DD0F28" w:rsidRPr="0097748E" w:rsidRDefault="00DD0F28" w:rsidP="00CA56AC">
      <w:pPr>
        <w:pStyle w:val="ListParagraph"/>
        <w:numPr>
          <w:ilvl w:val="0"/>
          <w:numId w:val="9"/>
        </w:numPr>
        <w:spacing w:before="100" w:beforeAutospacing="1" w:after="100" w:afterAutospacing="1" w:line="240" w:lineRule="auto"/>
        <w:jc w:val="left"/>
        <w:rPr>
          <w:szCs w:val="24"/>
        </w:rPr>
      </w:pPr>
      <w:r>
        <w:t>als we openbaarmaking nodig of gepast achten om de rechten, het eigendom of de veiligheid van Teleflex en zijn dochtermaatschappijen, onze klanten en anderen te beschermen. Dit omvat tevens het uitwisselen van informatie met andere maatschappijen en overheidsinstanties en organisaties met als doel fraudebescherming, naleving op het gebied van handel en douaneprocedures en vermindering van het kredietrisico.</w:t>
      </w:r>
    </w:p>
    <w:p w14:paraId="25356763" w14:textId="257F8B9B" w:rsidR="00BE1BF8" w:rsidRPr="0097748E" w:rsidRDefault="00BE1BF8" w:rsidP="00CA56AC">
      <w:pPr>
        <w:spacing w:before="100" w:beforeAutospacing="1" w:after="100" w:afterAutospacing="1" w:line="240" w:lineRule="auto"/>
        <w:rPr>
          <w:b/>
          <w:szCs w:val="24"/>
        </w:rPr>
      </w:pPr>
      <w:r>
        <w:rPr>
          <w:b/>
          <w:szCs w:val="24"/>
        </w:rPr>
        <w:t>Doorgifte van persoonsgegevens naar buiten de EER</w:t>
      </w:r>
    </w:p>
    <w:p w14:paraId="46244767" w14:textId="34327955" w:rsidR="00920C4C" w:rsidRPr="0097748E" w:rsidRDefault="00710AD9" w:rsidP="00CA56AC">
      <w:pPr>
        <w:spacing w:before="100" w:beforeAutospacing="1" w:after="100" w:afterAutospacing="1" w:line="240" w:lineRule="auto"/>
        <w:rPr>
          <w:b/>
          <w:bCs/>
          <w:szCs w:val="27"/>
        </w:rPr>
      </w:pPr>
      <w:r>
        <w:t>Dergelijke openbaarmakingen omvatten de doorgifte van Gegevens naar landen buiten de Europese Economische Ruimte ("</w:t>
      </w:r>
      <w:r>
        <w:rPr>
          <w:b/>
          <w:szCs w:val="24"/>
        </w:rPr>
        <w:t>EER</w:t>
      </w:r>
      <w:r>
        <w:t xml:space="preserve">"), met inbegrip van de VS, die u mogelijk, in vergelijking met de EER, niet een </w:t>
      </w:r>
      <w:r>
        <w:lastRenderedPageBreak/>
        <w:t>afdoende bescherming bieden met betrekking tot de verwerking van uw Gegevens. Er zijn toepasselijke waarborgen van kracht om enige doorgifte van uw Gegevens te beschermen.</w:t>
      </w:r>
      <w:r w:rsidR="00126B87">
        <w:t xml:space="preserve"> </w:t>
      </w:r>
      <w:r>
        <w:t>Teleflex slaat Gegevens op in servers in de VS die worden gehost door een derde provider, TierPoint Hosted Solutions, 99 TW Alexander Durham, NC, USA 27709. TierPoint Hosted Solutions heeft een certificaat van Privacy Shield, dat een redelijke mate van gegevensbescherming biedt, zoals wordt vereist door de Algemene verordening gegevensbescherming (“</w:t>
      </w:r>
      <w:r>
        <w:rPr>
          <w:b/>
          <w:szCs w:val="24"/>
        </w:rPr>
        <w:t>AVG</w:t>
      </w:r>
      <w:r>
        <w:t>”).</w:t>
      </w:r>
      <w:r w:rsidR="00126B87">
        <w:t xml:space="preserve"> </w:t>
      </w:r>
      <w:r>
        <w:t>Neemt u gerust contact met ons op voor meer informatie over deze waarborgen (zie hieronder: “Neem contact met ons op“).</w:t>
      </w:r>
    </w:p>
    <w:p w14:paraId="0638482A" w14:textId="20AEF234" w:rsidR="00B95131" w:rsidRPr="0097748E" w:rsidRDefault="004A76C6" w:rsidP="00CA56AC">
      <w:pPr>
        <w:keepNext/>
        <w:spacing w:before="100" w:beforeAutospacing="1" w:after="100" w:afterAutospacing="1" w:line="240" w:lineRule="auto"/>
        <w:rPr>
          <w:szCs w:val="24"/>
        </w:rPr>
      </w:pPr>
      <w:r>
        <w:rPr>
          <w:b/>
          <w:bCs/>
          <w:szCs w:val="27"/>
        </w:rPr>
        <w:t>Uw rechten</w:t>
      </w:r>
    </w:p>
    <w:p w14:paraId="469E078B" w14:textId="5EEDFC3A" w:rsidR="00E814CD" w:rsidRPr="0097748E" w:rsidRDefault="00E814CD" w:rsidP="00CA56AC">
      <w:pPr>
        <w:spacing w:before="100" w:beforeAutospacing="1" w:after="100" w:afterAutospacing="1" w:line="240" w:lineRule="auto"/>
        <w:rPr>
          <w:szCs w:val="24"/>
        </w:rPr>
      </w:pPr>
      <w:r>
        <w:t xml:space="preserve">U heeft het recht te vragen om toegang tot, rectificatie of verwijdering van uw Gegevens, of restrictie bij de verwerking ervan of om bezwaar te maken tegen het verwerken van uw Gegevens, evenals het recht op gegevensportabiliteit. Hieronder volgt een samenvatting van wat deze rechten inhouden: </w:t>
      </w:r>
    </w:p>
    <w:p w14:paraId="379433CB" w14:textId="77777777" w:rsidR="00E814CD" w:rsidRPr="0097748E" w:rsidRDefault="00E814CD" w:rsidP="00CA56AC">
      <w:pPr>
        <w:pStyle w:val="ListParagraph"/>
        <w:numPr>
          <w:ilvl w:val="0"/>
          <w:numId w:val="11"/>
        </w:numPr>
        <w:spacing w:line="240" w:lineRule="auto"/>
      </w:pPr>
      <w:r>
        <w:rPr>
          <w:b/>
        </w:rPr>
        <w:t>het recht op toegang</w:t>
      </w:r>
      <w:r>
        <w:t xml:space="preserve"> stelt u in staat een exemplaar van uw Gegevens te ontvangen;</w:t>
      </w:r>
    </w:p>
    <w:p w14:paraId="4B93B37C" w14:textId="77777777" w:rsidR="00E814CD" w:rsidRPr="0097748E" w:rsidRDefault="00E814CD" w:rsidP="00CA56AC">
      <w:pPr>
        <w:pStyle w:val="ListParagraph"/>
        <w:numPr>
          <w:ilvl w:val="0"/>
          <w:numId w:val="11"/>
        </w:numPr>
        <w:spacing w:line="240" w:lineRule="auto"/>
      </w:pPr>
      <w:r>
        <w:rPr>
          <w:b/>
        </w:rPr>
        <w:t>het recht op rectificatie</w:t>
      </w:r>
      <w:r>
        <w:t xml:space="preserve"> stelt u in staat onjuiste of onvolledige Gegevens te corrigeren;</w:t>
      </w:r>
    </w:p>
    <w:p w14:paraId="7C59737C" w14:textId="77777777" w:rsidR="00E814CD" w:rsidRPr="0097748E" w:rsidRDefault="00E814CD" w:rsidP="00CA56AC">
      <w:pPr>
        <w:pStyle w:val="ListParagraph"/>
        <w:numPr>
          <w:ilvl w:val="0"/>
          <w:numId w:val="11"/>
        </w:numPr>
        <w:spacing w:line="240" w:lineRule="auto"/>
        <w:rPr>
          <w:rFonts w:cs="Arial"/>
        </w:rPr>
      </w:pPr>
      <w:r>
        <w:rPr>
          <w:b/>
        </w:rPr>
        <w:t>het recht op verwijdering</w:t>
      </w:r>
      <w:r>
        <w:t xml:space="preserve"> stelt u in staat ons te vragen uw Gegevens onder bepaalde omstandigheden te verwijderen, bijvoorbeeld als het niet langer nodig is ze te verwerken of als u van mening bent dat ze onrechtmatig worden verwerkt. Uw verzoek kan worden geweigerd als de verwerking nodig is om te voldoen aan een wettelijke verplichting van de EU of Ierland of voor het instellen van of het voeren van verweer tegen rechtsvorderingen;</w:t>
      </w:r>
    </w:p>
    <w:p w14:paraId="33AF4A0B" w14:textId="671C0242" w:rsidR="00B05BE3" w:rsidRPr="0097748E" w:rsidRDefault="00E814CD" w:rsidP="00CA56AC">
      <w:pPr>
        <w:pStyle w:val="ListParagraph"/>
        <w:numPr>
          <w:ilvl w:val="0"/>
          <w:numId w:val="11"/>
        </w:numPr>
        <w:spacing w:line="240" w:lineRule="auto"/>
        <w:rPr>
          <w:rFonts w:cs="Arial"/>
        </w:rPr>
      </w:pPr>
      <w:r>
        <w:rPr>
          <w:b/>
          <w:bCs/>
        </w:rPr>
        <w:t>het recht op restrictie bij de verwerking</w:t>
      </w:r>
      <w:r>
        <w:t xml:space="preserve"> stelt u in staat ons te verzoeken onder bepaalde omstandigheden de verwerking van uw gegevens stop te zetten, b</w:t>
      </w:r>
      <w:bookmarkStart w:id="0" w:name="_GoBack"/>
      <w:bookmarkEnd w:id="0"/>
      <w:r>
        <w:t xml:space="preserve">ijvoorbeeld als u wilt dat wij de juistheid ervan of ons wetmatig belang in de verwerking ervan controleren; </w:t>
      </w:r>
    </w:p>
    <w:p w14:paraId="388F8886" w14:textId="77777777" w:rsidR="00B05BE3" w:rsidRPr="0097748E" w:rsidRDefault="00B05BE3" w:rsidP="00CA56AC">
      <w:pPr>
        <w:pStyle w:val="ListParagraph"/>
        <w:spacing w:before="0" w:line="240" w:lineRule="auto"/>
        <w:ind w:left="714"/>
        <w:rPr>
          <w:rFonts w:cs="Arial"/>
          <w:lang w:val="en" w:eastAsia="en-IE"/>
        </w:rPr>
      </w:pPr>
    </w:p>
    <w:p w14:paraId="1EAA769B" w14:textId="42246C41" w:rsidR="00E814CD" w:rsidRPr="0097748E" w:rsidRDefault="00E814CD" w:rsidP="00CA56AC">
      <w:pPr>
        <w:pStyle w:val="ListParagraph"/>
        <w:numPr>
          <w:ilvl w:val="0"/>
          <w:numId w:val="11"/>
        </w:numPr>
        <w:spacing w:before="0" w:line="240" w:lineRule="auto"/>
        <w:ind w:left="714" w:hanging="357"/>
        <w:rPr>
          <w:rFonts w:cs="Arial"/>
        </w:rPr>
      </w:pPr>
      <w:r>
        <w:rPr>
          <w:b/>
        </w:rPr>
        <w:t>het recht bezwaar aan te tekenen</w:t>
      </w:r>
      <w:r>
        <w:t xml:space="preserve"> stelt u in staat bezwaar te maken tegen de verwerking van uw Gegevens onder bepaalde omstandigheden, ook indien de verwerking plaatsvindt op basis van onze gerechtvaardigde belangen (of die van een derde partij) of indien de gegevens door ons worden gebruikt voor direct-marketingdoeleinden.</w:t>
      </w:r>
      <w:r w:rsidR="00126B87">
        <w:t xml:space="preserve"> </w:t>
      </w:r>
      <w:r>
        <w:t>We zullen een dergelijke verwerking stopzetten, behalve als er dwingende gerechtvaardigde redenen voor de verwerking zijn, of als de verwerking nodig is voor het instellen van of het voeren van verweer tegen rechtsvorderingen. U heeft ook het recht bezwaar te maken tegen verwerking door ons van uw Gegevens voor direct-marketingdoeleinden.</w:t>
      </w:r>
    </w:p>
    <w:p w14:paraId="4AAC5A65" w14:textId="77777777" w:rsidR="00B05BE3" w:rsidRPr="0097748E" w:rsidRDefault="00B05BE3" w:rsidP="00CA56AC">
      <w:pPr>
        <w:pStyle w:val="ListParagraph"/>
        <w:spacing w:before="0" w:line="240" w:lineRule="auto"/>
        <w:ind w:left="714"/>
        <w:rPr>
          <w:rFonts w:cs="Arial"/>
          <w:lang w:val="en" w:eastAsia="en-IE"/>
        </w:rPr>
      </w:pPr>
    </w:p>
    <w:p w14:paraId="1904BD0A" w14:textId="6A971607" w:rsidR="00E300D8" w:rsidRPr="0097748E" w:rsidRDefault="00E814CD" w:rsidP="00CA56AC">
      <w:pPr>
        <w:pStyle w:val="ListParagraph"/>
        <w:numPr>
          <w:ilvl w:val="0"/>
          <w:numId w:val="11"/>
        </w:numPr>
        <w:spacing w:before="0" w:after="100" w:afterAutospacing="1" w:line="240" w:lineRule="auto"/>
        <w:ind w:left="714" w:hanging="357"/>
        <w:rPr>
          <w:szCs w:val="24"/>
        </w:rPr>
      </w:pPr>
      <w:r>
        <w:rPr>
          <w:b/>
        </w:rPr>
        <w:t>het recht op gegevensportabiliteit</w:t>
      </w:r>
      <w:r>
        <w:t xml:space="preserve"> stelt u in staat om ons te verzoeken gegevens die u ons heeft verschaft, zonder belemmering aan een derde partij over te dragen, of u er een exemplaar van te geven zodat u ze aan een derde partij kan overdragen. </w:t>
      </w:r>
    </w:p>
    <w:p w14:paraId="62265799" w14:textId="2B0F7CD8" w:rsidR="00CF4428" w:rsidRPr="0097748E" w:rsidRDefault="00CF4428" w:rsidP="00CA56AC">
      <w:pPr>
        <w:spacing w:before="100" w:beforeAutospacing="1" w:after="100" w:afterAutospacing="1" w:line="240" w:lineRule="auto"/>
        <w:ind w:left="360"/>
        <w:rPr>
          <w:szCs w:val="24"/>
        </w:rPr>
      </w:pPr>
      <w:r>
        <w:t>We reageren zo snel als uitvoerbaar is, en in ieder geval binnen een maand na ontvangst van uw verzoek, schriftelijk, of, als u daarom heeft gevraagd, mondeling op uw verzoek. Mogelijk zullen wij u om legitimatie vragen ter verificatie van uw verzoek. Alle verzoeken dienen te worden ingediend bij PrivacyOfficial@teleflex.com.</w:t>
      </w:r>
    </w:p>
    <w:p w14:paraId="6C7F526D" w14:textId="2EEDB8CB" w:rsidR="00BC3A08" w:rsidRPr="0097748E" w:rsidRDefault="007951AE" w:rsidP="00CA56AC">
      <w:pPr>
        <w:spacing w:before="100" w:beforeAutospacing="1" w:after="100" w:afterAutospacing="1" w:line="240" w:lineRule="auto"/>
        <w:rPr>
          <w:szCs w:val="24"/>
        </w:rPr>
      </w:pPr>
      <w:r>
        <w:t xml:space="preserve">U heeft het recht een klacht in te dienen bij de gegevensbeschermingsautoriteit, met name in de lidstaat waar u woont of werkt of waar de beweerde inbreuk is begaan, als u van mening bent dat de verwerking van uw gegevens inbreuk maakt op de AVG. </w:t>
      </w:r>
    </w:p>
    <w:p w14:paraId="1256E8BB" w14:textId="08754B64" w:rsidR="00EC5051" w:rsidRPr="0097748E" w:rsidRDefault="00EC5051" w:rsidP="00CA56AC">
      <w:pPr>
        <w:spacing w:before="100" w:beforeAutospacing="1" w:after="100" w:afterAutospacing="1" w:line="240" w:lineRule="auto"/>
        <w:rPr>
          <w:b/>
        </w:rPr>
      </w:pPr>
      <w:r>
        <w:rPr>
          <w:b/>
        </w:rPr>
        <w:t>Veiligheid en waar we uw persoonsgegevens bewaren</w:t>
      </w:r>
    </w:p>
    <w:p w14:paraId="61EA5DDE" w14:textId="16D9E212" w:rsidR="00EF386F" w:rsidRPr="0097748E" w:rsidRDefault="00EC5051" w:rsidP="00CA56AC">
      <w:pPr>
        <w:spacing w:before="100" w:beforeAutospacing="1" w:after="100" w:afterAutospacing="1" w:line="240" w:lineRule="auto"/>
        <w:rPr>
          <w:b/>
          <w:szCs w:val="24"/>
        </w:rPr>
      </w:pPr>
      <w:r>
        <w:t>We zetten ons in voor de bescherming van de veiligheid van uw Gegevens. We gebruiken een scala van beveiligingstechnologieën en procedures voor de bescherming van uw gegevens, waarbij we rekening houden met de risico‘s die de verwerking met zich meebrengt, in het bijzonder het risico van onbedoelde of onrechtmatige vernietiging, verlies, wijziging, ongeoorloofde mededeling of toegang tot de overgedragen of opgeslagen en gebruikte persoonsgegevens. We hebben strenge interne richtlijnen geïmplementeerd om ervoor te zorgen dat uw privacy op elk niveau van onze organisatie wordt gewaarborgd. We zullen het beleid blijven herzien en aanvullende beveiligingsvoorzieningen blijven implementeren naarmate nieuwe technologieën beschikbaar komen.</w:t>
      </w:r>
    </w:p>
    <w:p w14:paraId="6C5B6B17" w14:textId="6DD57DD0" w:rsidR="00CF4428" w:rsidRPr="0097748E" w:rsidRDefault="00A00B15" w:rsidP="00CA56AC">
      <w:pPr>
        <w:spacing w:before="100" w:beforeAutospacing="1" w:after="100" w:afterAutospacing="1" w:line="240" w:lineRule="auto"/>
        <w:rPr>
          <w:b/>
          <w:bCs/>
          <w:szCs w:val="27"/>
        </w:rPr>
      </w:pPr>
      <w:r>
        <w:rPr>
          <w:b/>
          <w:bCs/>
          <w:szCs w:val="27"/>
        </w:rPr>
        <w:lastRenderedPageBreak/>
        <w:t>Wijzigingen in deze Verklaring Gegevensbescherming</w:t>
      </w:r>
    </w:p>
    <w:p w14:paraId="59B435D8" w14:textId="3248767F" w:rsidR="005B1D2A" w:rsidRPr="0097748E" w:rsidRDefault="00CF4428" w:rsidP="00CA56AC">
      <w:pPr>
        <w:spacing w:before="100" w:beforeAutospacing="1" w:after="100" w:afterAutospacing="1" w:line="240" w:lineRule="auto"/>
        <w:rPr>
          <w:szCs w:val="24"/>
        </w:rPr>
      </w:pPr>
      <w:r>
        <w:t xml:space="preserve">Wij behouden ons het recht voor om deze Verklaring Gegevensbescherming van tijd tot tijd om zakelijke of operationele redenen te wijzigen. Als wij wezenlijke wijzigingen doorvoeren, zullen we u daarvan op de hoogte stellen door schriftelijk contact op te nemen met het Bedrijf en u te informeren over die wijzigingen. </w:t>
      </w:r>
    </w:p>
    <w:p w14:paraId="477D3BDB" w14:textId="77777777" w:rsidR="00CF4428" w:rsidRPr="0097748E" w:rsidRDefault="00CF4428" w:rsidP="00CA56AC">
      <w:pPr>
        <w:spacing w:before="100" w:beforeAutospacing="1" w:after="100" w:afterAutospacing="1" w:line="240" w:lineRule="auto"/>
        <w:rPr>
          <w:b/>
          <w:bCs/>
          <w:szCs w:val="27"/>
        </w:rPr>
      </w:pPr>
      <w:r>
        <w:rPr>
          <w:b/>
          <w:bCs/>
          <w:szCs w:val="27"/>
        </w:rPr>
        <w:t>Neem contact met ons op</w:t>
      </w:r>
    </w:p>
    <w:p w14:paraId="5DD4E2C4" w14:textId="31C5D2CF" w:rsidR="00B44EB7" w:rsidRPr="0097748E" w:rsidRDefault="00CF4428" w:rsidP="00CA56AC">
      <w:pPr>
        <w:spacing w:before="100" w:beforeAutospacing="1" w:after="100" w:afterAutospacing="1" w:line="240" w:lineRule="auto"/>
      </w:pPr>
      <w:r>
        <w:t>Vragen, commentaar, verzoeken en klachten met betrekking tot deze Verklaring Gegevensbescherming en de gegevens die wij in ons bezit hebben, zijn welkom en dienen te worden gericht aan: PrivacyOfficial@teleflex.com.</w:t>
      </w:r>
    </w:p>
    <w:p w14:paraId="0FC32330" w14:textId="77777777" w:rsidR="00B44EB7" w:rsidRPr="0097748E" w:rsidRDefault="00B44EB7" w:rsidP="00CA56AC">
      <w:pPr>
        <w:spacing w:line="240" w:lineRule="auto"/>
      </w:pPr>
      <w:r>
        <w:br w:type="page"/>
      </w:r>
    </w:p>
    <w:p w14:paraId="1386956A" w14:textId="5AA640EF" w:rsidR="00A703A4" w:rsidRPr="0097748E" w:rsidRDefault="00B44EB7" w:rsidP="00CA56AC">
      <w:pPr>
        <w:spacing w:before="100" w:beforeAutospacing="1" w:after="100" w:afterAutospacing="1" w:line="240" w:lineRule="auto"/>
        <w:jc w:val="center"/>
        <w:rPr>
          <w:b/>
          <w:u w:val="single"/>
        </w:rPr>
      </w:pPr>
      <w:r>
        <w:rPr>
          <w:b/>
          <w:u w:val="single"/>
        </w:rPr>
        <w:lastRenderedPageBreak/>
        <w:t>BIJLAGE 1</w:t>
      </w:r>
    </w:p>
    <w:p w14:paraId="37160770" w14:textId="7464E37B" w:rsidR="00A703A4" w:rsidRPr="0097748E" w:rsidRDefault="003D1D38" w:rsidP="00CA56AC">
      <w:pPr>
        <w:spacing w:line="240" w:lineRule="auto"/>
      </w:pPr>
      <w:r>
        <w:t>Teleflex Medical Europe Limited</w:t>
      </w:r>
    </w:p>
    <w:p w14:paraId="1C7FF84A" w14:textId="5CF3EE8A" w:rsidR="003D1D38" w:rsidRPr="0097748E" w:rsidRDefault="003D1D38" w:rsidP="00CA56AC">
      <w:pPr>
        <w:spacing w:line="240" w:lineRule="auto"/>
      </w:pPr>
      <w:r>
        <w:t>Teleflex Medical BVBA</w:t>
      </w:r>
    </w:p>
    <w:p w14:paraId="7ECF8F47" w14:textId="57922892" w:rsidR="003D1D38" w:rsidRPr="0097748E" w:rsidRDefault="003D1D38" w:rsidP="00CA56AC">
      <w:pPr>
        <w:spacing w:line="240" w:lineRule="auto"/>
      </w:pPr>
      <w:r>
        <w:t xml:space="preserve">ARROW International CR, a.s. </w:t>
      </w:r>
    </w:p>
    <w:p w14:paraId="15131F2B" w14:textId="7BB887B5" w:rsidR="003D1D38" w:rsidRPr="0097748E" w:rsidRDefault="003D1D38" w:rsidP="00CA56AC">
      <w:pPr>
        <w:spacing w:line="240" w:lineRule="auto"/>
      </w:pPr>
      <w:r>
        <w:t>Teleflex Medical, s.r.o.</w:t>
      </w:r>
    </w:p>
    <w:p w14:paraId="1D2B43A1" w14:textId="77992158" w:rsidR="003D1D38" w:rsidRPr="0097748E" w:rsidRDefault="003D1D38" w:rsidP="00CA56AC">
      <w:pPr>
        <w:spacing w:line="240" w:lineRule="auto"/>
      </w:pPr>
      <w:r>
        <w:t>Teleflex Medical SAS</w:t>
      </w:r>
    </w:p>
    <w:p w14:paraId="308EF855" w14:textId="77777777" w:rsidR="00D051F0" w:rsidRDefault="00D051F0" w:rsidP="00CA56AC">
      <w:pPr>
        <w:spacing w:line="240" w:lineRule="auto"/>
      </w:pPr>
      <w:r>
        <w:t>Teleflex Medical, S.A.</w:t>
      </w:r>
    </w:p>
    <w:p w14:paraId="48A11A70" w14:textId="77D9A6B3" w:rsidR="003D1D38" w:rsidRPr="0097748E" w:rsidRDefault="003D1D38" w:rsidP="00CA56AC">
      <w:pPr>
        <w:spacing w:line="240" w:lineRule="auto"/>
      </w:pPr>
      <w:r>
        <w:t>Teleflex Medical GmbH</w:t>
      </w:r>
    </w:p>
    <w:p w14:paraId="556DD4D8" w14:textId="528A4C30" w:rsidR="003D1D38" w:rsidRPr="0097748E" w:rsidRDefault="003D1D38" w:rsidP="00CA56AC">
      <w:pPr>
        <w:spacing w:line="240" w:lineRule="auto"/>
      </w:pPr>
      <w:r>
        <w:t>Teleflex Medical Hellas s.a.</w:t>
      </w:r>
    </w:p>
    <w:p w14:paraId="1E99C0D4" w14:textId="6E6F665F" w:rsidR="003D1D38" w:rsidRPr="0097748E" w:rsidRDefault="003D1D38" w:rsidP="00CA56AC">
      <w:pPr>
        <w:spacing w:line="240" w:lineRule="auto"/>
      </w:pPr>
      <w:r>
        <w:t>Teleflex Medical B.V.</w:t>
      </w:r>
    </w:p>
    <w:p w14:paraId="42B73CB4" w14:textId="336733A4" w:rsidR="003D1D38" w:rsidRPr="0097748E" w:rsidRDefault="003D1D38" w:rsidP="00CA56AC">
      <w:pPr>
        <w:spacing w:line="240" w:lineRule="auto"/>
      </w:pPr>
      <w:r>
        <w:t>Teleflex Polska sp. z o.o.</w:t>
      </w:r>
    </w:p>
    <w:p w14:paraId="1934EF79" w14:textId="6BD461B7" w:rsidR="003D1D38" w:rsidRDefault="003D1D38" w:rsidP="00CA56AC">
      <w:pPr>
        <w:spacing w:line="240" w:lineRule="auto"/>
      </w:pPr>
      <w:r>
        <w:t>TFX Group Limited</w:t>
      </w:r>
    </w:p>
    <w:p w14:paraId="7EB2BF71" w14:textId="5616A3FE" w:rsidR="00D051F0" w:rsidRPr="0097748E" w:rsidRDefault="00D051F0" w:rsidP="00CA56AC">
      <w:pPr>
        <w:spacing w:line="240" w:lineRule="auto"/>
      </w:pPr>
      <w:r>
        <w:t>NeoTract, Inc.</w:t>
      </w:r>
    </w:p>
    <w:p w14:paraId="67AC5E30" w14:textId="77777777" w:rsidR="00CF4428" w:rsidRPr="0097748E" w:rsidRDefault="00CF4428" w:rsidP="00CA56AC">
      <w:pPr>
        <w:spacing w:before="100" w:beforeAutospacing="1" w:after="100" w:afterAutospacing="1" w:line="240" w:lineRule="auto"/>
        <w:rPr>
          <w:b/>
          <w:u w:val="single"/>
        </w:rPr>
      </w:pPr>
    </w:p>
    <w:p w14:paraId="167FCC43" w14:textId="77777777" w:rsidR="003D1D38" w:rsidRPr="0097748E" w:rsidRDefault="003D1D38" w:rsidP="00CA56AC">
      <w:pPr>
        <w:spacing w:before="100" w:beforeAutospacing="1" w:after="100" w:afterAutospacing="1" w:line="240" w:lineRule="auto"/>
        <w:rPr>
          <w:b/>
          <w:u w:val="single"/>
        </w:rPr>
      </w:pPr>
      <w:r>
        <w:br w:type="page"/>
      </w:r>
    </w:p>
    <w:p w14:paraId="1935F81A" w14:textId="49BA98AC" w:rsidR="00B44EB7" w:rsidRPr="0097748E" w:rsidRDefault="00B44EB7" w:rsidP="00CA56AC">
      <w:pPr>
        <w:spacing w:before="100" w:beforeAutospacing="1" w:after="100" w:afterAutospacing="1" w:line="240" w:lineRule="auto"/>
        <w:jc w:val="center"/>
        <w:rPr>
          <w:b/>
          <w:u w:val="single"/>
        </w:rPr>
      </w:pPr>
      <w:r>
        <w:rPr>
          <w:b/>
          <w:u w:val="single"/>
        </w:rPr>
        <w:lastRenderedPageBreak/>
        <w:t>BIJLAGE 2</w:t>
      </w:r>
    </w:p>
    <w:p w14:paraId="71D33F5E" w14:textId="77777777" w:rsidR="009E186A" w:rsidRPr="009E186A" w:rsidRDefault="009E186A" w:rsidP="00CA56AC">
      <w:pPr>
        <w:spacing w:before="0" w:line="240" w:lineRule="auto"/>
        <w:rPr>
          <w:rFonts w:ascii="Verdana" w:hAnsi="Verdana"/>
          <w:sz w:val="16"/>
          <w:szCs w:val="16"/>
        </w:rPr>
      </w:pPr>
      <w:r>
        <w:rPr>
          <w:rFonts w:ascii="Verdana" w:hAnsi="Verdana"/>
          <w:b/>
          <w:bCs/>
          <w:i/>
          <w:iCs/>
          <w:color w:val="000066"/>
          <w:sz w:val="16"/>
          <w:szCs w:val="16"/>
        </w:rPr>
        <w:t>Zwarte lijst van in verband met de export gelimiteerde, geweigerde en geweerde personen</w:t>
      </w:r>
    </w:p>
    <w:p w14:paraId="5032E7F7"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Zwarte lijst van het Ministerie van Handel [BIS]</w:t>
      </w:r>
    </w:p>
    <w:p w14:paraId="4BF9E172"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Lijst van Instanties van het Ministerie van Handel [BIS]</w:t>
      </w:r>
    </w:p>
    <w:p w14:paraId="4C4AAFC6"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Lijst “Ongecontroleerd“ van het Ministerie van Handel [BIS]</w:t>
      </w:r>
    </w:p>
    <w:p w14:paraId="68462534"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In het kader van de wet op de wapenexportcontrole van het Ministerie van Buitenlandse Zaken buitengesloten partijen [DDTC]</w:t>
      </w:r>
    </w:p>
    <w:p w14:paraId="660E39C5"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Lijst van geweerde personen uit Cuba van het Ministerie van Buitenlandse Zaken</w:t>
      </w:r>
    </w:p>
    <w:p w14:paraId="4ACB1A66"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Bevelen tot non-proliferatie van het Ministerie van Buitenlandse Zaken </w:t>
      </w:r>
    </w:p>
    <w:p w14:paraId="6CC0A11B"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Uitvoeringsbesluit 13382</w:t>
      </w:r>
    </w:p>
    <w:p w14:paraId="34F171C9"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Non-proliferatiewet voor Iran en Syrië</w:t>
      </w:r>
    </w:p>
    <w:p w14:paraId="2DA6F1EE"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Uitvoeringsbesluit 12938, zoals gewijzigd</w:t>
      </w:r>
    </w:p>
    <w:p w14:paraId="789BFCFE"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Sanctiewetgeving inzake het gebruik van raketten</w:t>
      </w:r>
    </w:p>
    <w:p w14:paraId="13458BB2"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Sanctiewetgeving inzake chemische en biologische wapens</w:t>
      </w:r>
    </w:p>
    <w:p w14:paraId="6E0CE309"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Sancties voor de overdracht van dodelijk militair materieel</w:t>
      </w:r>
    </w:p>
    <w:p w14:paraId="7F6EB305"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Sancties in het kader van de non-proliferatiewet voor Iran, Noord-Korea en Syrië (INKSNA)</w:t>
      </w:r>
    </w:p>
    <w:p w14:paraId="54D6D674"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Wet inzake sancties tegen Iran (ISA), wet inzake vermindering van de dreiging van Iran en wet inzake de mensenrechten in Syrië (TRA)</w:t>
      </w:r>
    </w:p>
    <w:p w14:paraId="50EE01EC" w14:textId="77777777" w:rsidR="009E186A" w:rsidRPr="009E186A" w:rsidRDefault="009E186A" w:rsidP="00CA56A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CAATSA paragraaf 231(d) Defensie en Geheime diensten van de Regering van de Russische Federatie</w:t>
      </w:r>
    </w:p>
    <w:p w14:paraId="55CC9625"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Bevelen van het Ministerie van Buitenlandse Zaken inzake de controle op de export van munitie [DDTC] </w:t>
      </w:r>
    </w:p>
    <w:p w14:paraId="24A8FA5C"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Aanwijzingen in het kader van de controle op de handel in massadestructiewapens [OFAC] </w:t>
      </w:r>
    </w:p>
    <w:p w14:paraId="01996B00"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Door het Ministerie van Buitenlandse Zaken als terroristisch aangemerkte organisaties </w:t>
      </w:r>
    </w:p>
    <w:p w14:paraId="75AA8EBA"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Lijst uitsluiting wegens terrorisme van het Ministerie van Buitenlandse zaken </w:t>
      </w:r>
    </w:p>
    <w:p w14:paraId="2B326A76"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Lijst van het Ministerie van Financiën van de VS inzake de Palestijnse Wetgevende Raad [OFAC] </w:t>
      </w:r>
    </w:p>
    <w:p w14:paraId="482AFDAB" w14:textId="77777777" w:rsidR="009E186A" w:rsidRPr="009E186A" w:rsidRDefault="009E186A" w:rsidP="00CA56A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Algemene bevelen van het Federaal Register van de VS </w:t>
      </w:r>
    </w:p>
    <w:p w14:paraId="345269EE" w14:textId="77777777" w:rsidR="009E186A" w:rsidRPr="009E186A" w:rsidRDefault="009E186A" w:rsidP="00CA56AC">
      <w:pPr>
        <w:spacing w:before="0" w:line="240" w:lineRule="auto"/>
        <w:rPr>
          <w:rFonts w:ascii="Verdana" w:hAnsi="Verdana"/>
          <w:sz w:val="16"/>
          <w:szCs w:val="16"/>
        </w:rPr>
      </w:pPr>
      <w:r>
        <w:rPr>
          <w:rFonts w:ascii="Verdana" w:hAnsi="Verdana"/>
          <w:b/>
          <w:bCs/>
          <w:i/>
          <w:iCs/>
          <w:color w:val="000066"/>
          <w:sz w:val="16"/>
          <w:szCs w:val="16"/>
        </w:rPr>
        <w:t>Zwarte lijsten van in verband met sanctieprogramma‘s geweerde personen</w:t>
      </w:r>
    </w:p>
    <w:p w14:paraId="58B69D03"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Speciaal door het Ministerie van Financiën van de VS aangemerkte onderdanen en geweerde personen, met inbegrip van Cuba en koopvaardijschepen, Iran, Irak en koopvaardijschepen, geweerde schepen van Soedan [OFAC] </w:t>
      </w:r>
    </w:p>
    <w:p w14:paraId="70B255DA" w14:textId="77777777" w:rsidR="009E186A" w:rsidRPr="009E186A" w:rsidRDefault="009E186A" w:rsidP="00CA56A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Speciaal door het Ministerie van Financiën als terroristisch aangemerkte organisaties en individuen </w:t>
      </w:r>
    </w:p>
    <w:p w14:paraId="04947D44" w14:textId="77777777" w:rsidR="009E186A" w:rsidRPr="009E186A" w:rsidRDefault="009E186A" w:rsidP="00CA56A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Speciaal door het Ministerie van Financiën aangemerkte drugshandelaren en kopstukken in de drugshandel </w:t>
      </w:r>
    </w:p>
    <w:p w14:paraId="4F9650ED" w14:textId="77777777" w:rsidR="009E186A" w:rsidRPr="009E186A" w:rsidRDefault="009E186A" w:rsidP="00CA56A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Lijst van buitenlandse kopstukken in de drugshandel van het Ministerie van Financiën </w:t>
      </w:r>
    </w:p>
    <w:p w14:paraId="54AB68EA" w14:textId="77777777" w:rsidR="009E186A" w:rsidRPr="009E186A" w:rsidRDefault="009E186A" w:rsidP="00CA56A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Sancties door het Ministerie van Financiën in verband met aanzienlijke cybercriminele activiteiten </w:t>
      </w:r>
    </w:p>
    <w:p w14:paraId="4EE4CA86" w14:textId="77777777" w:rsidR="009E186A" w:rsidRPr="009E186A" w:rsidRDefault="009E186A" w:rsidP="00CA56A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Lijst van buitenlandse financiële instanties die onderworpen zijn aan Part 561 </w:t>
      </w:r>
    </w:p>
    <w:p w14:paraId="3A3A57A3"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Lijst van het Ministerie van Financiën van de VS van buitenlandse ontduikers van sancties (FSE-IR, FSE-SY) [OFAC] </w:t>
      </w:r>
    </w:p>
    <w:p w14:paraId="6B40E3B3"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Lijst van het Ministerie van Financiën van de VS van de identificatie van sectorale sancties (UKRAINE-EO13662) [OFAC] </w:t>
      </w:r>
    </w:p>
    <w:p w14:paraId="336C41EA"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Lijst van het Ministerie van Financiën van de VS van personen die als uitsluitend uit hoofde van uitvoeringsbesluit 13599 [OFAC] geweerd zijn aangemerkt </w:t>
      </w:r>
    </w:p>
    <w:p w14:paraId="5B297976"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Geconsolideerde lijst van de Verenigde Naties </w:t>
      </w:r>
    </w:p>
    <w:p w14:paraId="61257A55" w14:textId="77777777" w:rsidR="009E186A" w:rsidRPr="009E186A" w:rsidRDefault="009E186A" w:rsidP="00CA56A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Strafmaatregelen van de VN (bevriezing van activa, reisverbod of wapenembargo) opgelegd door de Veiligheidsraad op individuen en instellingen onder de Beslissingen van de Veiligheidsraad 751 (1992) en 1907 (2009) met betrekking tot Somalië en Eritrea, 1267 (1999) en 1989 (2011) met betrekking tot Al Qaida en betrokken individuen en instellingen, 1518 (2003), 1521 (2003) met betrekking tot Liberia, 1533 (2004) met betrekking tot de Democratische Republiek Congo, 1572 (2004) met betrekking tot Ivoorkust, 1591 (2005) met betrekking tot Soedan, 1718 (2006), 1737 (2006), 1970 (2011) met betrekking tot Libië, 1988 (2011) en 2048 (2012) met betrekking tot Guinee-Bissau. </w:t>
      </w:r>
    </w:p>
    <w:p w14:paraId="75D3003E"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Havenverbod van de Verenigde Naties voor schepen </w:t>
      </w:r>
    </w:p>
    <w:p w14:paraId="3ABD43E8"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OMM Schepen op de zwarte lijst gezet in Bijlage III van Besluit 2270 (2016) van de VN </w:t>
      </w:r>
    </w:p>
    <w:p w14:paraId="09E2FF04" w14:textId="77777777" w:rsidR="009E186A" w:rsidRPr="009E186A" w:rsidRDefault="009E186A" w:rsidP="00CA56A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Door de VN op grond van Besluiten 1718 en 2270 aangemerkte schepen </w:t>
      </w:r>
    </w:p>
    <w:p w14:paraId="645DE6DC" w14:textId="0D351B68" w:rsidR="009E186A" w:rsidRPr="009E186A" w:rsidRDefault="009E186A" w:rsidP="00CA56AC">
      <w:pPr>
        <w:spacing w:before="0" w:line="240" w:lineRule="auto"/>
        <w:rPr>
          <w:rFonts w:ascii="Verdana" w:hAnsi="Verdana"/>
          <w:sz w:val="16"/>
          <w:szCs w:val="16"/>
        </w:rPr>
      </w:pPr>
      <w:r>
        <w:rPr>
          <w:rFonts w:ascii="Verdana" w:hAnsi="Verdana"/>
          <w:b/>
          <w:bCs/>
          <w:i/>
          <w:iCs/>
          <w:color w:val="000066"/>
          <w:sz w:val="16"/>
          <w:szCs w:val="16"/>
        </w:rPr>
        <w:t>Administratie van Algemene Diensten</w:t>
      </w:r>
      <w:r>
        <w:rPr>
          <w:rFonts w:ascii="Verdana" w:hAnsi="Verdana"/>
          <w:sz w:val="16"/>
          <w:szCs w:val="16"/>
        </w:rPr>
        <w:t> </w:t>
      </w:r>
      <w:hyperlink r:id="rId7" w:history="1">
        <w:r>
          <w:rPr>
            <w:rFonts w:ascii="Verdana" w:hAnsi="Verdana"/>
            <w:color w:val="05058C"/>
            <w:sz w:val="14"/>
            <w:szCs w:val="14"/>
          </w:rPr>
          <w:t xml:space="preserve">GSA Federaal Agentschap en Codes van oorzaak en behandeling </w:t>
        </w:r>
      </w:hyperlink>
    </w:p>
    <w:p w14:paraId="016E7EC9" w14:textId="77777777" w:rsidR="009E186A" w:rsidRPr="009E186A" w:rsidRDefault="009E186A" w:rsidP="00CA56AC">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Lijst van partijen die zijn uitgesloten van federale aanbestedingsprogramma‘s van de Administratie van Algemene Diensten van de VS [SAM/EPLS] </w:t>
      </w:r>
    </w:p>
    <w:p w14:paraId="070297F9" w14:textId="77777777" w:rsidR="009E186A" w:rsidRPr="009E186A" w:rsidRDefault="009E186A" w:rsidP="00CA56AC">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Lijst van partijen die zijn uitgesloten van federale non-aanbestedingsprogramma‘s van de Administratie van Algemene Diensten van de VS [SAM/EPLS] </w:t>
      </w:r>
    </w:p>
    <w:p w14:paraId="098CF2B8" w14:textId="77777777" w:rsidR="009E186A" w:rsidRPr="009E186A" w:rsidRDefault="009E186A" w:rsidP="00CA56AC">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Lijst van partijen die zijn uitgesloten van federale wederzijdse programma‘s van de Administratie van Algemene Diensten van de VS [SAM/EPLS] </w:t>
      </w:r>
    </w:p>
    <w:p w14:paraId="7F4831DA" w14:textId="77777777" w:rsidR="009E186A" w:rsidRPr="009E186A" w:rsidRDefault="009E186A" w:rsidP="00CA56AC">
      <w:pPr>
        <w:spacing w:before="0" w:line="240" w:lineRule="auto"/>
        <w:rPr>
          <w:rFonts w:ascii="Verdana" w:hAnsi="Verdana"/>
          <w:sz w:val="16"/>
          <w:szCs w:val="16"/>
        </w:rPr>
      </w:pPr>
      <w:r>
        <w:rPr>
          <w:rFonts w:ascii="Verdana" w:hAnsi="Verdana"/>
          <w:b/>
          <w:bCs/>
          <w:i/>
          <w:iCs/>
          <w:color w:val="000066"/>
          <w:sz w:val="16"/>
          <w:szCs w:val="16"/>
        </w:rPr>
        <w:lastRenderedPageBreak/>
        <w:t>Lijst van in verband met de wetshandhaving gezochte personen</w:t>
      </w:r>
    </w:p>
    <w:p w14:paraId="0FAD78D0"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Luchtmachtbureau voor speciale onderzoeken - top tien voortvluchtigen </w:t>
      </w:r>
    </w:p>
    <w:p w14:paraId="0D0081FB"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richt zich op vier prioriteiten: het benutten van contraspionageactiviteiten voor troepenbescherming, het oplossen van geweldsmisdrijven die de Luchtmacht bedreigen, het bestrijden van dreigingen voor de informatiesystemen en -technologieën van de Luchtmacht, en het verslaan en afschrikken van aankoopfraude. </w:t>
      </w:r>
    </w:p>
    <w:p w14:paraId="6787396C"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Bureau voor alcohol, tabak en meest gezochte vuurwapens en explosieven </w:t>
      </w:r>
    </w:p>
    <w:p w14:paraId="49B2C9C3"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handhaaft de federale wet- en regelgeving van de VS met betrekking tot alcohol, tabaksproducten, vuurwapens, explosieven en brandstichting. </w:t>
      </w:r>
    </w:p>
    <w:p w14:paraId="6AF31C66"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Tien meest door de FBI gezochte voortvluchtigen </w:t>
      </w:r>
    </w:p>
    <w:p w14:paraId="0B9557BD"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Onderzoeksfuncties vallen in de categorieën van zaken van verzoekers, burgerrechten, terrorismebestrijding, buitenlandse contraspionage, georganiseerde misdaad/drugs, geweldsmisdrijven en zware overtreders, en financiële criminaliteit. </w:t>
      </w:r>
    </w:p>
    <w:p w14:paraId="7B53A9AD"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Lijst van meest door de FBI gezochte terroristen </w:t>
      </w:r>
    </w:p>
    <w:p w14:paraId="53A13EA5"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vermeldt vermeende terroristen die in hoorzittingen van Federale Grand Jury‘s in verschillende rechtsgebieden van de Verenigde Staten zijn aangeklaagd voor de misdaden die staan vermeld op hun “gezocht“-posters. </w:t>
      </w:r>
    </w:p>
    <w:p w14:paraId="6BED0FE3"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Door de FBI gezochte voortvluchtigen </w:t>
      </w:r>
    </w:p>
    <w:p w14:paraId="00877067"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ontvoeringen en vermiste personen </w:t>
      </w:r>
    </w:p>
    <w:p w14:paraId="66EFD956"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informatie inwinnen </w:t>
      </w:r>
    </w:p>
    <w:p w14:paraId="1A71A1BF"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Klinisch onderzoekers </w:t>
      </w:r>
    </w:p>
    <w:p w14:paraId="1456D1BD"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Afgekeurd en verboden </w:t>
      </w:r>
    </w:p>
    <w:p w14:paraId="61B8FFB9"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Uitsluitingslijst </w:t>
      </w:r>
    </w:p>
    <w:p w14:paraId="113741AA"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Individuen die door de Food and Drug Administration (FDA) aan verscheidene beperkingen onderworpen zijn geweest vanwege wetenschappelijk wangedrag. </w:t>
      </w:r>
    </w:p>
    <w:p w14:paraId="0FDEC7FD"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Onderzoek naar de meest door het Ministerie van Binnenlandse Veiligheid gezochte personen </w:t>
      </w:r>
    </w:p>
    <w:p w14:paraId="70AAF559"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Terrorisme, drugssmokkel, witwassen van geld, mensenhandel/-smokkel, import-/exportovertredingen, kinderpornografie/-uitbuiting, documenten- en financiële fraude, misdrijven in relatie tot bendes, overtredingen van de rechten op intellectueel eigendom, wetshandhaving op de werkplek. </w:t>
      </w:r>
    </w:p>
    <w:p w14:paraId="69933943"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Dienst misdaadonderzoek van de Marine - gezochte voortvluchtigen </w:t>
      </w:r>
    </w:p>
    <w:p w14:paraId="5008A8C3"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voert misdaadonderzoek en contraspionage uit voor het Ministerie van de Marine, en leidt veiligheidsprogramma‘s van de Marine. </w:t>
      </w:r>
    </w:p>
    <w:p w14:paraId="773F307B"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VS Immigratie en Douane-handhaving en uitzettingssoperaties meest gezochte personen </w:t>
      </w:r>
    </w:p>
    <w:p w14:paraId="4E33D140"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VS Immigratie en Douane-handhaving (ICE) handhaaft de federale wetgeving betreffende de grenscontrole, douane, handel en immigratie teneinde de binnenlandse en openbare veiligheid te bevorderen. </w:t>
      </w:r>
    </w:p>
    <w:p w14:paraId="34EF53C0"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VS Agentschap voor wetshandhaving betreffende drugs - belangrijkste internationale voortvluchtigen </w:t>
      </w:r>
    </w:p>
    <w:p w14:paraId="5C6CBBDF"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handhaaft de wet- en regelgeving op gecontroleerde substanties van de Verenigde Staten en brengt die instellingen en individuen naar het strafrechtelijke en civiele rechtssysteem van de Verenigde Staten die zijn betrokken bij het kweken, verwerken of distribueren van gecontroleerde substanties die terechtkomen in of bestemd zijn voor illegale handel binnen de Verenigde Staten. </w:t>
      </w:r>
    </w:p>
    <w:p w14:paraId="52705305"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VS Marshals Dienst - Top 15 meest gezochte personen </w:t>
      </w:r>
    </w:p>
    <w:p w14:paraId="3A2DCE11"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VS Marshals Dienst - Belangrijkste gevallen van voortvluchtigen </w:t>
      </w:r>
    </w:p>
    <w:p w14:paraId="0A47478F"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betrokken bij bijna elk initiatief tot federale wetshandhaving. De belangrijkste zaken van VS Marshals en de top vijftien meest gezochte personen bestaat uit personen met een voorgeschiedenis van geweldsmisdrijven, die als gewapend en gevaarlijk worden beschouwd. </w:t>
      </w:r>
    </w:p>
    <w:p w14:paraId="6B90E335" w14:textId="77777777" w:rsidR="009E186A" w:rsidRPr="009E186A" w:rsidRDefault="009E186A" w:rsidP="00CA56AC">
      <w:pPr>
        <w:numPr>
          <w:ilvl w:val="0"/>
          <w:numId w:val="16"/>
        </w:numPr>
        <w:spacing w:before="100" w:beforeAutospacing="1" w:after="100" w:afterAutospacing="1" w:line="240" w:lineRule="auto"/>
        <w:rPr>
          <w:rFonts w:ascii="Verdana" w:hAnsi="Verdana"/>
          <w:b/>
          <w:bCs/>
          <w:sz w:val="16"/>
          <w:szCs w:val="16"/>
        </w:rPr>
      </w:pPr>
      <w:r>
        <w:rPr>
          <w:rFonts w:ascii="Verdana" w:hAnsi="Verdana"/>
          <w:sz w:val="16"/>
          <w:szCs w:val="16"/>
        </w:rPr>
        <w:t>VS Geheime Dienst - meest gezochte personen</w:t>
      </w:r>
      <w:r>
        <w:rPr>
          <w:rFonts w:ascii="Verdana" w:hAnsi="Verdana"/>
          <w:b/>
          <w:bCs/>
          <w:sz w:val="16"/>
          <w:szCs w:val="16"/>
        </w:rPr>
        <w:t xml:space="preserve"> </w:t>
      </w:r>
    </w:p>
    <w:p w14:paraId="3069532E"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De Geheime Dienst van de VS heeft het mandaat om twee taken uit te voeren: bescherming en misdaadonderzoeken. In het kader van misdaadonderzoek is de Geheime Dienst verantwoordelijk voor de handhaving van de wetten met betrekking tot het valselijk voorwenden van verplichtingen en veiligheid van de Verenigde Staten, het onderzoeken van financiële criminaliteit met inbegrip van maar niet beperkt tot fraude m.b.t. de toegang tot apparaten, fraude van financiële instellingen, identiteitsdiefstal, computerfraude, telecommunicatie-fraude, en computeraanvallen op ons lands financiële, bank- en telecommunicatie-infrastructuur. </w:t>
      </w:r>
    </w:p>
    <w:p w14:paraId="53A8C6FA"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Bureau voor Administratieve Maatregelen inzake Onderzoeksintegriteit </w:t>
      </w:r>
    </w:p>
    <w:p w14:paraId="0CE658AA"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De namen van individuen tegen wie administratieve maatregelen zijn ingesteld door het Bureau voor Onderzoeksintegriteit (ORI), bijgehouden door de Dienst voor Openbare Gezondheid (PHS). De Assistent-Secretaris voor Gezondheid (ASH) neemt de uiteindelijke beslissing (van de dienst PHS) over bevindingen van wangedrag bij onderzoek en het opleggen van administratieve maatregelen na de aanbevelingen bestudeerd te hebben die zijn gemaakt door het bureau ORI. </w:t>
      </w:r>
    </w:p>
    <w:p w14:paraId="7BE41E30" w14:textId="77777777" w:rsidR="009E186A" w:rsidRPr="009E186A" w:rsidRDefault="009E186A" w:rsidP="00CA56A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VS Dienst Postinspectie - Meest gezochte personen </w:t>
      </w:r>
    </w:p>
    <w:p w14:paraId="79670C9F" w14:textId="77777777" w:rsidR="009E186A" w:rsidRPr="009E186A" w:rsidRDefault="009E186A" w:rsidP="00CA56A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Belangrijke gebieden van jurisdictie omvatten: aanslagen, bommen, gecontroleerde substanties, elektronische criminaliteit, postfraude en het witwassen van geld. </w:t>
      </w:r>
    </w:p>
    <w:p w14:paraId="015C3344" w14:textId="77777777" w:rsidR="009E186A" w:rsidRPr="009E186A" w:rsidRDefault="009E186A" w:rsidP="00CA56AC">
      <w:pPr>
        <w:pageBreakBefore/>
        <w:spacing w:before="0" w:line="240" w:lineRule="auto"/>
        <w:rPr>
          <w:rFonts w:ascii="Verdana" w:hAnsi="Verdana"/>
          <w:sz w:val="16"/>
          <w:szCs w:val="16"/>
        </w:rPr>
      </w:pPr>
      <w:r>
        <w:rPr>
          <w:rFonts w:ascii="Verdana" w:hAnsi="Verdana"/>
          <w:b/>
          <w:bCs/>
          <w:i/>
          <w:iCs/>
          <w:color w:val="000066"/>
          <w:sz w:val="16"/>
          <w:szCs w:val="16"/>
        </w:rPr>
        <w:lastRenderedPageBreak/>
        <w:t>Politiek prominente personen en Bureau van de Inspecteur Generaal</w:t>
      </w:r>
    </w:p>
    <w:p w14:paraId="492762C9" w14:textId="77777777" w:rsidR="009E186A" w:rsidRPr="009E186A" w:rsidRDefault="009E186A" w:rsidP="00CA56AC">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Staatshoofden en kabinetsleden van buitenlandse regeringen [Centrale inlichtingendienst] </w:t>
      </w:r>
    </w:p>
    <w:p w14:paraId="0705A3DF" w14:textId="77777777" w:rsidR="009E186A" w:rsidRPr="009E186A" w:rsidRDefault="009E186A" w:rsidP="00CA56AC">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Senior politieke figuren en oligarchen in de Russische Federatie [‘Poetin-lijst‘] </w:t>
      </w:r>
    </w:p>
    <w:p w14:paraId="7E6C61B3" w14:textId="77777777" w:rsidR="009E186A" w:rsidRPr="009E186A" w:rsidRDefault="009E186A" w:rsidP="00CA56AC">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Inspectiebureau Algemene lijst van individuen/instellingen die zijn buitengesloten van Federale gezondheids- en medische programma‘s </w:t>
      </w:r>
    </w:p>
    <w:p w14:paraId="1EECF901" w14:textId="77777777" w:rsidR="009E186A" w:rsidRPr="009E186A" w:rsidRDefault="009E186A" w:rsidP="00CA56AC">
      <w:pPr>
        <w:spacing w:before="0" w:line="240" w:lineRule="auto"/>
        <w:rPr>
          <w:rFonts w:ascii="Verdana" w:hAnsi="Verdana"/>
          <w:sz w:val="16"/>
          <w:szCs w:val="16"/>
        </w:rPr>
      </w:pPr>
      <w:r>
        <w:rPr>
          <w:rFonts w:ascii="Verdana" w:hAnsi="Verdana"/>
          <w:b/>
          <w:bCs/>
          <w:i/>
          <w:iCs/>
          <w:color w:val="000066"/>
          <w:sz w:val="16"/>
          <w:szCs w:val="16"/>
        </w:rPr>
        <w:t>Internationale zwarte lijsten van terroristen, geweerde personen, gezochte personen en instellingen</w:t>
      </w:r>
    </w:p>
    <w:p w14:paraId="04196146"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Geconsolideerde lijst van de Europese Unie </w:t>
      </w:r>
    </w:p>
    <w:p w14:paraId="5CB57FF6" w14:textId="77777777" w:rsidR="009E186A" w:rsidRPr="00126B87" w:rsidRDefault="009E186A" w:rsidP="00CA56AC">
      <w:pPr>
        <w:numPr>
          <w:ilvl w:val="1"/>
          <w:numId w:val="18"/>
        </w:numPr>
        <w:spacing w:before="100" w:beforeAutospacing="1" w:after="100" w:afterAutospacing="1" w:line="240" w:lineRule="auto"/>
        <w:rPr>
          <w:rFonts w:ascii="Verdana" w:hAnsi="Verdana"/>
          <w:spacing w:val="-4"/>
          <w:sz w:val="16"/>
          <w:szCs w:val="16"/>
        </w:rPr>
      </w:pPr>
      <w:r w:rsidRPr="00126B87">
        <w:rPr>
          <w:rFonts w:ascii="Verdana" w:hAnsi="Verdana"/>
          <w:spacing w:val="-4"/>
          <w:sz w:val="16"/>
          <w:szCs w:val="16"/>
        </w:rPr>
        <w:t xml:space="preserve">De geconsolideerde lijst van de Europese Unie, plus personen en instellingen van de Europese Unie die onderworpen zijn aan restrictieve maatregelen onder de Regelgevingen van de Raad van de Europese Unie. </w:t>
      </w:r>
    </w:p>
    <w:p w14:paraId="39FAEFC9"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Tien meest door Europol gezochte voortvluchtigen </w:t>
      </w:r>
    </w:p>
    <w:p w14:paraId="6ACDCFAD"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Door Interpol recentelijk gezochte personen </w:t>
      </w:r>
    </w:p>
    <w:p w14:paraId="74A521FF"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noteert personen die worden gezocht door nationale jurisdicties. </w:t>
      </w:r>
    </w:p>
    <w:p w14:paraId="7E16211A"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Japan: Buitenlandse Zorgwekkende Eindgebruikers </w:t>
      </w:r>
    </w:p>
    <w:p w14:paraId="3200F12F"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Koninkrijk van Saoedi-Arabië: gezochte militanten </w:t>
      </w:r>
    </w:p>
    <w:p w14:paraId="693172F6"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Canada: Instellingen van openbare veiligheid en paraatheid bij noodsituaties </w:t>
      </w:r>
    </w:p>
    <w:p w14:paraId="29142DDF"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Australië: Geconsolideerde lijst van Buitenlandse Zaken </w:t>
      </w:r>
    </w:p>
    <w:p w14:paraId="06308A13"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Geconsolideerde lijst van het Ministerie van Financiën [Engeland] </w:t>
      </w:r>
    </w:p>
    <w:p w14:paraId="0F2DA803"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De geconsolideerde lijst van het Ministerie van Financiën, plus personen en instellingen van het Ministerie van Financiën die onderworpen zijn aan restrictieve maatregelen onder de Regelgevingen van de Raad van de Europese Unie. </w:t>
      </w:r>
    </w:p>
    <w:p w14:paraId="65933BE7"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Lijst van gezochte personen van het Canadese Border Services Agency </w:t>
      </w:r>
    </w:p>
    <w:p w14:paraId="5C6DEB54"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Schendingen van menselijke of internationale rechten op grond van de Wet op misdrijven tegen de menselijkheid en oorlogsmisdaden of op grond van de internationale wetgeving. </w:t>
      </w:r>
    </w:p>
    <w:p w14:paraId="7FE9CA42"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Canadese economische sancties </w:t>
      </w:r>
    </w:p>
    <w:p w14:paraId="47013086"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De sancties omvatten een scala aan maatregelen, waaronder begrepen beperkingen wat betreft officiële en diplomatieke contacten of reizen, het opleggen van wettelijke maatregelen om de handel of andere economische activiteiten tussen Canada en de doelstaat te beperken of te verbieden, of het in beslag nemen of bevriezen van eigendom dat zich in Canada bevindt. </w:t>
      </w:r>
    </w:p>
    <w:p w14:paraId="13AF69C3"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Door de RCMP gezochte voortvluchtigen </w:t>
      </w:r>
    </w:p>
    <w:p w14:paraId="4B791297"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handhaaft wetten die zijn gemaakt door of onder het gezag van het parlement van Canada. </w:t>
      </w:r>
    </w:p>
    <w:p w14:paraId="7ECAFFE5"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FinCEN (USA PATRIOT Act) Section 311 - Speciale maatregelen</w:t>
      </w:r>
      <w:r>
        <w:rPr>
          <w:rFonts w:ascii="Verdana" w:hAnsi="Verdana"/>
          <w:sz w:val="16"/>
          <w:szCs w:val="16"/>
        </w:rPr>
        <w:t xml:space="preserve"> </w:t>
      </w:r>
    </w:p>
    <w:p w14:paraId="4CC7FA9D"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Lijst van niet-subsidiale bedrijven van de Wereldbank </w:t>
      </w:r>
    </w:p>
    <w:p w14:paraId="2EE62DA1"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vermeldt de namen van bedrijven en individuen die niet in aanmerking komen om een door de Wereldbank gefinancierd contract te krijgen voor de aangegeven periodes, omdat is gebleken dat ze de fraude- en corruptiebepalingen van de aanbestedingsrichtlijnen of de richtlijnen van de adviseurs hebben geschonden. </w:t>
      </w:r>
    </w:p>
    <w:p w14:paraId="4F715619"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Geconsolideerde lijst van OSFI - Instellingen</w:t>
      </w:r>
      <w:r>
        <w:rPr>
          <w:rFonts w:ascii="Verdana" w:hAnsi="Verdana"/>
          <w:sz w:val="16"/>
          <w:szCs w:val="16"/>
        </w:rPr>
        <w:t xml:space="preserve"> </w:t>
      </w:r>
    </w:p>
    <w:p w14:paraId="4A00EA67"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Geconsolideerde lijst van OSFI - Individuen</w:t>
      </w:r>
      <w:r>
        <w:rPr>
          <w:rFonts w:ascii="Verdana" w:hAnsi="Verdana"/>
          <w:sz w:val="16"/>
          <w:szCs w:val="16"/>
        </w:rPr>
        <w:t xml:space="preserve"> </w:t>
      </w:r>
    </w:p>
    <w:p w14:paraId="202D4BC9" w14:textId="77777777" w:rsidR="009E186A" w:rsidRPr="00126B87" w:rsidRDefault="009E186A" w:rsidP="00CA56AC">
      <w:pPr>
        <w:numPr>
          <w:ilvl w:val="1"/>
          <w:numId w:val="18"/>
        </w:numPr>
        <w:spacing w:before="100" w:beforeAutospacing="1" w:after="100" w:afterAutospacing="1" w:line="240" w:lineRule="auto"/>
        <w:rPr>
          <w:rFonts w:ascii="Verdana" w:hAnsi="Verdana"/>
          <w:spacing w:val="-4"/>
          <w:sz w:val="16"/>
          <w:szCs w:val="16"/>
        </w:rPr>
      </w:pPr>
      <w:r w:rsidRPr="00126B87">
        <w:rPr>
          <w:rFonts w:ascii="Verdana" w:hAnsi="Verdana"/>
          <w:spacing w:val="-4"/>
          <w:sz w:val="16"/>
          <w:szCs w:val="16"/>
        </w:rPr>
        <w:t xml:space="preserve">Bureau van de Hoofdinspecteur van Financiële Instellingen (OSFI) publiceert namen die onderworpen zijn aan de regelgeving door het opstellen van een lijst van instellingen, gemaakt in het kader van het Wetboek van Strafrecht van Canada of de bestrijding van terrorisme-verordeningen van de Verenigde Naties. OSFI is de enige toezichthouder van banken en de voornaamste toezichthouder van verzekeringsmaatschappijen, beleggingsmaatschappijen, kredietmaatschappijen en pensioenregelingen in Canada. </w:t>
      </w:r>
    </w:p>
    <w:p w14:paraId="04C113BF" w14:textId="77777777" w:rsidR="009E186A" w:rsidRPr="009E186A" w:rsidRDefault="009E186A" w:rsidP="00CA56A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OSFI Waarschuwingslijst</w:t>
      </w:r>
      <w:r>
        <w:rPr>
          <w:rFonts w:ascii="Verdana" w:hAnsi="Verdana"/>
          <w:sz w:val="16"/>
          <w:szCs w:val="16"/>
        </w:rPr>
        <w:t xml:space="preserve"> </w:t>
      </w:r>
    </w:p>
    <w:p w14:paraId="7E1F42ED" w14:textId="77777777" w:rsidR="009E186A" w:rsidRPr="009E186A" w:rsidRDefault="009E186A" w:rsidP="00CA56A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publiceert namen van instellingen die van belang kunnen zijn voor de zakenwereld en het publiek. </w:t>
      </w:r>
    </w:p>
    <w:p w14:paraId="10577550" w14:textId="77777777" w:rsidR="009E186A" w:rsidRPr="009E186A" w:rsidRDefault="009E186A" w:rsidP="00CA56AC">
      <w:pPr>
        <w:spacing w:before="100" w:beforeAutospacing="1" w:after="100" w:afterAutospacing="1" w:line="240" w:lineRule="auto"/>
        <w:ind w:left="720"/>
        <w:rPr>
          <w:rFonts w:ascii="Verdana" w:hAnsi="Verdana"/>
          <w:sz w:val="16"/>
          <w:szCs w:val="16"/>
          <w:lang w:val="en-US"/>
        </w:rPr>
      </w:pPr>
    </w:p>
    <w:p w14:paraId="76C43801" w14:textId="7125E376" w:rsidR="00B44EB7" w:rsidRPr="00B44EB7" w:rsidRDefault="00B44EB7" w:rsidP="00CA56AC">
      <w:pPr>
        <w:spacing w:before="100" w:beforeAutospacing="1" w:after="100" w:afterAutospacing="1" w:line="240" w:lineRule="auto"/>
        <w:rPr>
          <w:b/>
          <w:u w:val="single"/>
        </w:rPr>
      </w:pPr>
    </w:p>
    <w:sectPr w:rsidR="00B44EB7" w:rsidRPr="00B44EB7" w:rsidSect="007E6B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741A" w14:textId="77777777" w:rsidR="009D4291" w:rsidRDefault="009D4291" w:rsidP="00FF0F75">
      <w:r>
        <w:separator/>
      </w:r>
    </w:p>
  </w:endnote>
  <w:endnote w:type="continuationSeparator" w:id="0">
    <w:p w14:paraId="36C9D095" w14:textId="77777777" w:rsidR="009D4291" w:rsidRPr="000B495E" w:rsidRDefault="009D4291" w:rsidP="000B495E">
      <w:r>
        <w:separator/>
      </w:r>
    </w:p>
  </w:endnote>
  <w:endnote w:type="continuationNotice" w:id="1">
    <w:p w14:paraId="642713B1" w14:textId="77777777" w:rsidR="009D4291" w:rsidRDefault="009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34CB" w14:textId="77777777" w:rsidR="003405D1" w:rsidRDefault="0034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7504" w14:textId="0DE672EF" w:rsidR="009845EB" w:rsidRPr="00A02A48" w:rsidRDefault="003405D1">
    <w:r>
      <w:rPr>
        <w:sz w:val="16"/>
      </w:rPr>
      <w:t>Herzien mei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AD4D94">
      <w:rPr>
        <w:noProof/>
      </w:rPr>
      <w:t>8</w:t>
    </w:r>
    <w:r w:rsidR="002140A1" w:rsidRPr="00A02A48">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647A" w14:textId="152D8CF9" w:rsidR="009845EB" w:rsidRPr="007E6BF3" w:rsidRDefault="009E186A" w:rsidP="007E6BF3">
    <w:r>
      <w:rPr>
        <w:sz w:val="16"/>
      </w:rPr>
      <w:t>Herzien mei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AD4D94">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B2DF" w14:textId="77777777" w:rsidR="009D4291" w:rsidRDefault="009D4291" w:rsidP="00FF0F75">
      <w:r>
        <w:separator/>
      </w:r>
    </w:p>
  </w:footnote>
  <w:footnote w:type="continuationSeparator" w:id="0">
    <w:p w14:paraId="035BEDE3" w14:textId="77777777" w:rsidR="009D4291" w:rsidRPr="000B495E" w:rsidRDefault="009D4291" w:rsidP="000B495E">
      <w:r>
        <w:separator/>
      </w:r>
    </w:p>
  </w:footnote>
  <w:footnote w:type="continuationNotice" w:id="1">
    <w:p w14:paraId="3D5CEC07" w14:textId="77777777" w:rsidR="009D4291" w:rsidRDefault="009D4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680" w14:textId="77777777" w:rsidR="003405D1" w:rsidRDefault="0034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AF82" w14:textId="77777777" w:rsidR="003405D1" w:rsidRDefault="0034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5254" w14:textId="77777777" w:rsidR="003405D1" w:rsidRDefault="0034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Heading1"/>
      <w:lvlText w:val="%1."/>
      <w:lvlJc w:val="left"/>
      <w:pPr>
        <w:ind w:left="720" w:hanging="720"/>
      </w:pPr>
      <w:rPr>
        <w:rFonts w:ascii="Arial" w:hAnsi="Arial" w:hint="default"/>
        <w:b/>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D216B"/>
    <w:rsid w:val="000D343C"/>
    <w:rsid w:val="000E0535"/>
    <w:rsid w:val="000E1B49"/>
    <w:rsid w:val="000E2610"/>
    <w:rsid w:val="000E439D"/>
    <w:rsid w:val="000F1C6D"/>
    <w:rsid w:val="00101443"/>
    <w:rsid w:val="00103062"/>
    <w:rsid w:val="001205E0"/>
    <w:rsid w:val="001220A4"/>
    <w:rsid w:val="00122F82"/>
    <w:rsid w:val="00125B59"/>
    <w:rsid w:val="00126B87"/>
    <w:rsid w:val="001359AE"/>
    <w:rsid w:val="00137A19"/>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A0700"/>
    <w:rsid w:val="001A0F8B"/>
    <w:rsid w:val="001A6681"/>
    <w:rsid w:val="001B0C67"/>
    <w:rsid w:val="001B2053"/>
    <w:rsid w:val="001C1C58"/>
    <w:rsid w:val="001C4684"/>
    <w:rsid w:val="001D400A"/>
    <w:rsid w:val="001D4635"/>
    <w:rsid w:val="001E07E8"/>
    <w:rsid w:val="001E6807"/>
    <w:rsid w:val="001E7105"/>
    <w:rsid w:val="001F796A"/>
    <w:rsid w:val="00201815"/>
    <w:rsid w:val="00205A01"/>
    <w:rsid w:val="0021163B"/>
    <w:rsid w:val="00211C9B"/>
    <w:rsid w:val="00212920"/>
    <w:rsid w:val="002140A1"/>
    <w:rsid w:val="0022108C"/>
    <w:rsid w:val="0022119B"/>
    <w:rsid w:val="00227BFB"/>
    <w:rsid w:val="002405CC"/>
    <w:rsid w:val="00244A4B"/>
    <w:rsid w:val="00246884"/>
    <w:rsid w:val="00253098"/>
    <w:rsid w:val="002540D4"/>
    <w:rsid w:val="00254D03"/>
    <w:rsid w:val="002576E9"/>
    <w:rsid w:val="00257EE5"/>
    <w:rsid w:val="002641D2"/>
    <w:rsid w:val="00266A37"/>
    <w:rsid w:val="002738CE"/>
    <w:rsid w:val="00283544"/>
    <w:rsid w:val="0029454D"/>
    <w:rsid w:val="002A0527"/>
    <w:rsid w:val="002A2AF5"/>
    <w:rsid w:val="002A4075"/>
    <w:rsid w:val="002B6FDB"/>
    <w:rsid w:val="002C19A4"/>
    <w:rsid w:val="002C4EE6"/>
    <w:rsid w:val="002D1C47"/>
    <w:rsid w:val="002D3270"/>
    <w:rsid w:val="002E08D7"/>
    <w:rsid w:val="002E098C"/>
    <w:rsid w:val="002E4649"/>
    <w:rsid w:val="002E7504"/>
    <w:rsid w:val="002F0DEA"/>
    <w:rsid w:val="00304968"/>
    <w:rsid w:val="0032729A"/>
    <w:rsid w:val="003278E7"/>
    <w:rsid w:val="003346C6"/>
    <w:rsid w:val="00336125"/>
    <w:rsid w:val="00336435"/>
    <w:rsid w:val="003405D1"/>
    <w:rsid w:val="00341173"/>
    <w:rsid w:val="003440E7"/>
    <w:rsid w:val="0034660A"/>
    <w:rsid w:val="003522DB"/>
    <w:rsid w:val="00355666"/>
    <w:rsid w:val="00356082"/>
    <w:rsid w:val="00356D32"/>
    <w:rsid w:val="003577FA"/>
    <w:rsid w:val="003629D1"/>
    <w:rsid w:val="00364451"/>
    <w:rsid w:val="003654AC"/>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278A9"/>
    <w:rsid w:val="004302C9"/>
    <w:rsid w:val="00430A73"/>
    <w:rsid w:val="00434CF7"/>
    <w:rsid w:val="00435216"/>
    <w:rsid w:val="00436CED"/>
    <w:rsid w:val="004413F4"/>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472E"/>
    <w:rsid w:val="005233AB"/>
    <w:rsid w:val="00527488"/>
    <w:rsid w:val="005301C1"/>
    <w:rsid w:val="00543EA1"/>
    <w:rsid w:val="00545785"/>
    <w:rsid w:val="00550486"/>
    <w:rsid w:val="0055378B"/>
    <w:rsid w:val="0057149B"/>
    <w:rsid w:val="00571E1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6011E"/>
    <w:rsid w:val="0066023D"/>
    <w:rsid w:val="00660BE7"/>
    <w:rsid w:val="0066658A"/>
    <w:rsid w:val="006723C4"/>
    <w:rsid w:val="00674209"/>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710AD9"/>
    <w:rsid w:val="00711E34"/>
    <w:rsid w:val="007143FE"/>
    <w:rsid w:val="00714C91"/>
    <w:rsid w:val="007239BE"/>
    <w:rsid w:val="00724B1C"/>
    <w:rsid w:val="007458AB"/>
    <w:rsid w:val="0076700A"/>
    <w:rsid w:val="00771EEF"/>
    <w:rsid w:val="00772AF7"/>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AD5"/>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400D"/>
    <w:rsid w:val="00912D39"/>
    <w:rsid w:val="00920C4C"/>
    <w:rsid w:val="00926BE6"/>
    <w:rsid w:val="009304CE"/>
    <w:rsid w:val="00932224"/>
    <w:rsid w:val="00941748"/>
    <w:rsid w:val="00943CFA"/>
    <w:rsid w:val="009461B3"/>
    <w:rsid w:val="00955282"/>
    <w:rsid w:val="009556AB"/>
    <w:rsid w:val="00960DA8"/>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63CE"/>
    <w:rsid w:val="00A9643C"/>
    <w:rsid w:val="00A96C11"/>
    <w:rsid w:val="00AB4539"/>
    <w:rsid w:val="00AC3A4E"/>
    <w:rsid w:val="00AC6EF8"/>
    <w:rsid w:val="00AD17B2"/>
    <w:rsid w:val="00AD4D94"/>
    <w:rsid w:val="00AF01D8"/>
    <w:rsid w:val="00AF406B"/>
    <w:rsid w:val="00B05BE3"/>
    <w:rsid w:val="00B11020"/>
    <w:rsid w:val="00B12261"/>
    <w:rsid w:val="00B132BC"/>
    <w:rsid w:val="00B17647"/>
    <w:rsid w:val="00B216FD"/>
    <w:rsid w:val="00B27131"/>
    <w:rsid w:val="00B35D91"/>
    <w:rsid w:val="00B43706"/>
    <w:rsid w:val="00B43734"/>
    <w:rsid w:val="00B43D44"/>
    <w:rsid w:val="00B43EAA"/>
    <w:rsid w:val="00B44373"/>
    <w:rsid w:val="00B44EB7"/>
    <w:rsid w:val="00B51016"/>
    <w:rsid w:val="00B51AAF"/>
    <w:rsid w:val="00B52E5A"/>
    <w:rsid w:val="00B56489"/>
    <w:rsid w:val="00B573FE"/>
    <w:rsid w:val="00B61ADC"/>
    <w:rsid w:val="00B61AE5"/>
    <w:rsid w:val="00B636D2"/>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3254"/>
    <w:rsid w:val="00C94F1C"/>
    <w:rsid w:val="00C96FD7"/>
    <w:rsid w:val="00CA0995"/>
    <w:rsid w:val="00CA2CE7"/>
    <w:rsid w:val="00CA4D3C"/>
    <w:rsid w:val="00CA56A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F1B8A"/>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606B"/>
    <w:rsid w:val="00F62D4D"/>
    <w:rsid w:val="00F6383C"/>
    <w:rsid w:val="00F64DE8"/>
    <w:rsid w:val="00F666F8"/>
    <w:rsid w:val="00F72348"/>
    <w:rsid w:val="00F73E0E"/>
    <w:rsid w:val="00F86C8E"/>
    <w:rsid w:val="00F92C5A"/>
    <w:rsid w:val="00F953B5"/>
    <w:rsid w:val="00F96EA1"/>
    <w:rsid w:val="00FA4ADC"/>
    <w:rsid w:val="00FB6688"/>
    <w:rsid w:val="00FB77B7"/>
    <w:rsid w:val="00FC1B0F"/>
    <w:rsid w:val="00FC543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nl-NL"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BF2"/>
    <w:rPr>
      <w:rFonts w:eastAsia="Times New Roman" w:cs="Times New Roman"/>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99"/>
    <w:semiHidden/>
    <w:qFormat/>
    <w:rsid w:val="00101443"/>
    <w:pPr>
      <w:ind w:left="720"/>
    </w:p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nl-NL" w:eastAsia="ja-JP"/>
    </w:rPr>
  </w:style>
  <w:style w:type="paragraph" w:styleId="BalloonText">
    <w:name w:val="Balloon Text"/>
    <w:basedOn w:val="Normal"/>
    <w:link w:val="BalloonTextChar"/>
    <w:uiPriority w:val="99"/>
    <w:semiHidden/>
    <w:rsid w:val="008274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eastAsiaTheme="minorHAnsi"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DefaultParagraphFont"/>
    <w:rsid w:val="00DD0F28"/>
  </w:style>
  <w:style w:type="character" w:styleId="FollowedHyperlink">
    <w:name w:val="FollowedHyperlink"/>
    <w:basedOn w:val="DefaultParagraphFont"/>
    <w:uiPriority w:val="99"/>
    <w:semiHidden/>
    <w:unhideWhenUsed/>
    <w:rsid w:val="00A84E35"/>
    <w:rPr>
      <w:color w:val="B26B02" w:themeColor="followedHyperlink"/>
      <w:u w:val="single"/>
    </w:rPr>
  </w:style>
  <w:style w:type="table" w:customStyle="1" w:styleId="TableGrid1">
    <w:name w:val="Table Grid1"/>
    <w:basedOn w:val="TableNormal"/>
    <w:next w:val="TableGrid"/>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CommentReference">
    <w:name w:val="annotation reference"/>
    <w:basedOn w:val="DefaultParagraphFont"/>
    <w:uiPriority w:val="99"/>
    <w:semiHidden/>
    <w:unhideWhenUsed/>
    <w:rsid w:val="003A04F0"/>
    <w:rPr>
      <w:sz w:val="16"/>
      <w:szCs w:val="16"/>
    </w:rPr>
  </w:style>
  <w:style w:type="paragraph" w:styleId="CommentText">
    <w:name w:val="annotation text"/>
    <w:basedOn w:val="Normal"/>
    <w:link w:val="CommentTextChar"/>
    <w:uiPriority w:val="99"/>
    <w:semiHidden/>
    <w:unhideWhenUsed/>
    <w:rsid w:val="003A04F0"/>
    <w:pPr>
      <w:spacing w:before="0" w:line="240" w:lineRule="auto"/>
      <w:jc w:val="left"/>
    </w:pPr>
    <w:rPr>
      <w:rFonts w:eastAsiaTheme="minorHAnsi" w:cs="Arial"/>
    </w:rPr>
  </w:style>
  <w:style w:type="character" w:customStyle="1" w:styleId="CommentTextChar">
    <w:name w:val="Comment Text Char"/>
    <w:basedOn w:val="DefaultParagraphFont"/>
    <w:link w:val="CommentText"/>
    <w:uiPriority w:val="99"/>
    <w:semiHidden/>
    <w:rsid w:val="003A04F0"/>
    <w:rPr>
      <w:rFonts w:cs="Arial"/>
    </w:rPr>
  </w:style>
  <w:style w:type="paragraph" w:styleId="CommentSubject">
    <w:name w:val="annotation subject"/>
    <w:basedOn w:val="CommentText"/>
    <w:next w:val="CommentText"/>
    <w:link w:val="CommentSubjectChar"/>
    <w:uiPriority w:val="99"/>
    <w:semiHidden/>
    <w:unhideWhenUsed/>
    <w:rsid w:val="00F666F8"/>
    <w:pPr>
      <w:spacing w:before="24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4.visualcompliance.com/stock/procurecodes.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ALGBlank.dotm</Template>
  <TotalTime>0</TotalTime>
  <Pages>9</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2018-06-01T14:34:00Z</dcterms:created>
  <dcterms:modified xsi:type="dcterms:W3CDTF">2018-06-01T16:09:00Z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