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A67F1" w14:textId="72CCAC05" w:rsidR="00CF4428" w:rsidRPr="0097748E" w:rsidRDefault="002576E9" w:rsidP="00151BDD">
      <w:pPr>
        <w:spacing w:before="100" w:beforeAutospacing="1" w:after="100" w:afterAutospacing="1" w:line="276" w:lineRule="auto"/>
        <w:rPr>
          <w:b/>
          <w:szCs w:val="24"/>
        </w:rPr>
      </w:pPr>
      <w:r>
        <w:rPr>
          <w:b/>
          <w:szCs w:val="24"/>
        </w:rPr>
        <w:t xml:space="preserve">INFORMATIVA SULLA PRIVACY </w:t>
      </w:r>
      <w:r w:rsidR="00151BDD">
        <w:rPr>
          <w:b/>
          <w:szCs w:val="24"/>
        </w:rPr>
        <w:t>–</w:t>
      </w:r>
      <w:r>
        <w:rPr>
          <w:b/>
          <w:szCs w:val="24"/>
        </w:rPr>
        <w:t xml:space="preserve"> DISTRIBUTORI</w:t>
      </w:r>
    </w:p>
    <w:p w14:paraId="42ACD6A1" w14:textId="5AD98488" w:rsidR="004F443F" w:rsidRPr="0097748E" w:rsidRDefault="008F5F92" w:rsidP="00151BDD">
      <w:pPr>
        <w:spacing w:before="100" w:beforeAutospacing="1" w:after="100" w:afterAutospacing="1" w:line="276" w:lineRule="auto"/>
        <w:rPr>
          <w:szCs w:val="24"/>
        </w:rPr>
      </w:pPr>
      <w:r>
        <w:t>Teleflex si impegna a proteggere e rispettare la vostra privacy. La presente Informativa sulla privacy stabilisce le basi giuridiche su cui deve fondarsi il trattamento dei dati personali che raccogliamo da voi o che voi stessi ci</w:t>
      </w:r>
      <w:r w:rsidR="00151BDD">
        <w:t> </w:t>
      </w:r>
      <w:r>
        <w:t xml:space="preserve">fornite (i </w:t>
      </w:r>
      <w:r>
        <w:rPr>
          <w:b/>
          <w:szCs w:val="24"/>
        </w:rPr>
        <w:t>dati</w:t>
      </w:r>
      <w:r>
        <w:t>). Vi preghiamo di leggere attentamente quanto segue per comprendere l'uso che facciamo dei</w:t>
      </w:r>
      <w:r w:rsidR="00151BDD">
        <w:t> </w:t>
      </w:r>
      <w:r>
        <w:t>dati.</w:t>
      </w:r>
    </w:p>
    <w:p w14:paraId="0D426B16" w14:textId="73DD085A" w:rsidR="00CF4428" w:rsidRPr="0097748E" w:rsidRDefault="004F443F" w:rsidP="00151BDD">
      <w:pPr>
        <w:spacing w:before="100" w:beforeAutospacing="1" w:after="100" w:afterAutospacing="1" w:line="276" w:lineRule="auto"/>
        <w:rPr>
          <w:szCs w:val="24"/>
        </w:rPr>
      </w:pPr>
      <w:r>
        <w:t>Si informa che la presente Informativa sulla privacy si applica esclusivamente ai dati personali raccolti e trattati da Teleflex Incorporated, 550 E. Swedesford Road Suite 400 Wayne, PA 19087-1603, USA o, a seconda dei casi, da una delle nostre consociate/controllate (denominate di seguito "Teleflex", "noi", o "nostro/a") elencate nell'</w:t>
      </w:r>
      <w:r>
        <w:rPr>
          <w:b/>
          <w:szCs w:val="24"/>
        </w:rPr>
        <w:t>allegato 1</w:t>
      </w:r>
      <w:r>
        <w:t xml:space="preserve"> alla presente Informativa sulla privacy.</w:t>
      </w:r>
    </w:p>
    <w:p w14:paraId="4812D8FF" w14:textId="2878A4A3" w:rsidR="003B6309" w:rsidRPr="0097748E" w:rsidRDefault="003B6309" w:rsidP="00151BDD">
      <w:pPr>
        <w:spacing w:before="100" w:beforeAutospacing="1" w:after="100" w:afterAutospacing="1" w:line="276" w:lineRule="auto"/>
        <w:rPr>
          <w:rFonts w:cs="Arial"/>
        </w:rPr>
      </w:pPr>
      <w:r>
        <w:t>Firmando il modulo di consenso al trattamento e fornendo dati per le finalità del questionario di due diligence del rivenditore e del rapporto commerciale fra la Società e Teleflex, state autorizzando l'uso di vostri dati secondo quanto stabilito nella presente Informativa sulla privacy. Avete il diritto di revocare il vostro consenso in qualsiasi momento. Vi preghiamo di contattarci qualora desideriate farlo (cfr. la sezione "Contatti" di</w:t>
      </w:r>
      <w:r w:rsidR="00151BDD">
        <w:t> </w:t>
      </w:r>
      <w:r>
        <w:t>seguito). </w:t>
      </w:r>
    </w:p>
    <w:p w14:paraId="1C4FFA0B" w14:textId="797404C7" w:rsidR="004A6F7B" w:rsidRPr="0097748E" w:rsidRDefault="004A6F7B" w:rsidP="00151BDD">
      <w:pPr>
        <w:spacing w:before="100" w:beforeAutospacing="1" w:after="100" w:afterAutospacing="1" w:line="276" w:lineRule="auto"/>
        <w:rPr>
          <w:rFonts w:cs="Arial"/>
        </w:rPr>
      </w:pPr>
      <w:r>
        <w:t>Ai fini della presente Informativa sulla privacy, i riferimenti alla "Società" riguardano l'organizzazione menzionata nella seziona A.1 del questionario di due diligence del rivenditore o l'Impresa con la quale Teleflex stipula il contratto di distribuzione.</w:t>
      </w:r>
    </w:p>
    <w:p w14:paraId="02D62E05" w14:textId="77777777" w:rsidR="00CA4D3C" w:rsidRPr="0097748E" w:rsidRDefault="00CA4D3C" w:rsidP="00151BDD">
      <w:pPr>
        <w:spacing w:before="100" w:beforeAutospacing="1" w:after="100" w:afterAutospacing="1" w:line="276" w:lineRule="auto"/>
        <w:rPr>
          <w:b/>
          <w:color w:val="333333"/>
        </w:rPr>
      </w:pPr>
      <w:r>
        <w:rPr>
          <w:b/>
          <w:color w:val="333333"/>
        </w:rPr>
        <w:t>Ambito di applicazione</w:t>
      </w:r>
    </w:p>
    <w:p w14:paraId="2588C69C" w14:textId="60FD9560" w:rsidR="00CA4D3C" w:rsidRPr="0097748E" w:rsidRDefault="00CA4D3C" w:rsidP="00151BDD">
      <w:pPr>
        <w:spacing w:before="100" w:beforeAutospacing="1" w:after="100" w:afterAutospacing="1" w:line="276" w:lineRule="auto"/>
      </w:pPr>
      <w:r>
        <w:t>La presente Informativa sulla privacy si applica a voi, che siate un lavoratore dipendente, un funzionario o un direttore della Società – passato, attuale o potenziale–, come illustrato nel questionario di due diligence del rivenditore e nel rapporto commerciale esistente fra la Società e Teleflex.</w:t>
      </w:r>
      <w:r w:rsidR="00B201F9">
        <w:t xml:space="preserve"> </w:t>
      </w:r>
      <w:r>
        <w:t>Si applica inoltre a soggetti terzi di cui ci fornite i dati in relazione al rapporto che intratteniamo con la Società.</w:t>
      </w:r>
      <w:r w:rsidR="00B201F9">
        <w:t xml:space="preserve"> </w:t>
      </w:r>
      <w:r>
        <w:t>Vi preghiamo di assicurarvi di fornire una copia della presente Informativa sulla privacy ai soggetti terzi dei quali ci fornite i dati personali.</w:t>
      </w:r>
    </w:p>
    <w:p w14:paraId="69591E74" w14:textId="77777777" w:rsidR="00D350C5" w:rsidRPr="0097748E" w:rsidRDefault="00D350C5" w:rsidP="00151BDD">
      <w:pPr>
        <w:spacing w:before="0" w:line="276" w:lineRule="auto"/>
        <w:rPr>
          <w:rFonts w:eastAsiaTheme="minorHAnsi" w:cs="Arial"/>
          <w:b/>
          <w:color w:val="333333"/>
        </w:rPr>
      </w:pPr>
      <w:r>
        <w:rPr>
          <w:b/>
          <w:color w:val="333333"/>
        </w:rPr>
        <w:t>Che cosa sono i dati personali?</w:t>
      </w:r>
    </w:p>
    <w:p w14:paraId="2BAB9871" w14:textId="77777777" w:rsidR="005C19B3" w:rsidRPr="0097748E" w:rsidRDefault="005C19B3" w:rsidP="00151BDD">
      <w:pPr>
        <w:spacing w:before="0" w:line="276" w:lineRule="auto"/>
        <w:rPr>
          <w:rFonts w:eastAsiaTheme="minorHAnsi" w:cs="Arial"/>
          <w:b/>
          <w:color w:val="333333"/>
        </w:rPr>
      </w:pPr>
    </w:p>
    <w:p w14:paraId="1AF243DA" w14:textId="308EE719" w:rsidR="00D350C5" w:rsidRPr="0097748E" w:rsidRDefault="00D350C5" w:rsidP="00151BDD">
      <w:pPr>
        <w:spacing w:before="0" w:line="276" w:lineRule="auto"/>
        <w:rPr>
          <w:rFonts w:eastAsiaTheme="minorHAnsi" w:cs="Arial"/>
          <w:color w:val="333333"/>
        </w:rPr>
      </w:pPr>
      <w:r>
        <w:t>Sono definiti "dati personali" i dati relativi a un individuo vivente che può essere identificato direttamente a partire da tali dati o, indirettamente, dagli stessi dati combinati con altre informazioni. Deteniamo alcuni o tutti i seguenti tipi di dati personali che vi riguardano e che ci vengono forniti dalla Società nel questionario di due diligence del rivenditore oppure nel corso del contratto di distribuzione esistente fra la Società e Teleflex</w:t>
      </w:r>
      <w:r>
        <w:rPr>
          <w:color w:val="333333"/>
        </w:rPr>
        <w:t>:</w:t>
      </w:r>
    </w:p>
    <w:p w14:paraId="1EDC9D20" w14:textId="75581D6D" w:rsidR="00480F9E" w:rsidRPr="0097748E" w:rsidRDefault="00B52EF3" w:rsidP="00151BDD">
      <w:pPr>
        <w:pStyle w:val="ListParagraph"/>
        <w:numPr>
          <w:ilvl w:val="0"/>
          <w:numId w:val="10"/>
        </w:numPr>
        <w:spacing w:before="100" w:beforeAutospacing="1" w:after="100" w:afterAutospacing="1" w:line="276" w:lineRule="auto"/>
        <w:contextualSpacing/>
        <w:rPr>
          <w:szCs w:val="24"/>
        </w:rPr>
      </w:pPr>
      <w:r>
        <w:t>N</w:t>
      </w:r>
      <w:r w:rsidR="00480F9E">
        <w:t>ome, recapiti di lavoro, fra cui l'indirizzo di posta elettronica e il numero di telefono;</w:t>
      </w:r>
    </w:p>
    <w:p w14:paraId="4FA0DE52" w14:textId="77777777" w:rsidR="00480F9E" w:rsidRPr="0077374E" w:rsidRDefault="00480F9E" w:rsidP="00151BDD">
      <w:pPr>
        <w:pStyle w:val="ListParagraph"/>
        <w:spacing w:before="100" w:beforeAutospacing="1" w:after="100" w:afterAutospacing="1" w:line="276" w:lineRule="auto"/>
        <w:contextualSpacing/>
        <w:rPr>
          <w:szCs w:val="24"/>
          <w:lang w:val="es-ES" w:eastAsia="en-IE"/>
        </w:rPr>
      </w:pPr>
    </w:p>
    <w:p w14:paraId="2EFECAD0" w14:textId="4B9166B3" w:rsidR="00CF134A" w:rsidRPr="0097748E" w:rsidRDefault="00CF134A" w:rsidP="00151BDD">
      <w:pPr>
        <w:pStyle w:val="ListParagraph"/>
        <w:numPr>
          <w:ilvl w:val="0"/>
          <w:numId w:val="10"/>
        </w:numPr>
        <w:spacing w:before="100" w:beforeAutospacing="1" w:after="100" w:afterAutospacing="1" w:line="276" w:lineRule="auto"/>
        <w:contextualSpacing/>
        <w:rPr>
          <w:szCs w:val="24"/>
        </w:rPr>
      </w:pPr>
      <w:r>
        <w:t xml:space="preserve">Se possedete il dieci per cento (10%) della Società o una quota superiore, raccogliamo il vostro nome, titolo, la nazionalità e la percentuale della vostra partecipazione; </w:t>
      </w:r>
    </w:p>
    <w:p w14:paraId="4D9697EF" w14:textId="77777777" w:rsidR="00A71957" w:rsidRPr="0077374E" w:rsidRDefault="00A71957" w:rsidP="00151BDD">
      <w:pPr>
        <w:pStyle w:val="ListParagraph"/>
        <w:spacing w:before="100" w:beforeAutospacing="1" w:after="100" w:afterAutospacing="1" w:line="276" w:lineRule="auto"/>
        <w:contextualSpacing/>
        <w:rPr>
          <w:szCs w:val="24"/>
          <w:lang w:val="es-ES" w:eastAsia="en-IE"/>
        </w:rPr>
      </w:pPr>
    </w:p>
    <w:p w14:paraId="5007244A" w14:textId="432AD8A3" w:rsidR="00A53307" w:rsidRPr="0097748E" w:rsidRDefault="00A53307" w:rsidP="00151BDD">
      <w:pPr>
        <w:pStyle w:val="ListParagraph"/>
        <w:numPr>
          <w:ilvl w:val="0"/>
          <w:numId w:val="10"/>
        </w:numPr>
        <w:spacing w:before="100" w:beforeAutospacing="1" w:after="100" w:afterAutospacing="1" w:line="276" w:lineRule="auto"/>
        <w:contextualSpacing/>
        <w:rPr>
          <w:szCs w:val="24"/>
        </w:rPr>
      </w:pPr>
      <w:r>
        <w:t>Se siete un direttore o un funzionario della Società, raccogliamo i vostri dati fra cui il vostro nome, titolo, l'anzianità di servizio presso la Società, l'indirizzo, il numero di passaporto e la nazionalità;</w:t>
      </w:r>
    </w:p>
    <w:p w14:paraId="254F8F7B" w14:textId="77777777" w:rsidR="00A71957" w:rsidRPr="0077374E" w:rsidRDefault="00A71957" w:rsidP="00151BDD">
      <w:pPr>
        <w:pStyle w:val="ListParagraph"/>
        <w:spacing w:before="100" w:beforeAutospacing="1" w:after="100" w:afterAutospacing="1" w:line="276" w:lineRule="auto"/>
        <w:contextualSpacing/>
        <w:rPr>
          <w:szCs w:val="24"/>
          <w:lang w:val="es-ES" w:eastAsia="en-IE"/>
        </w:rPr>
      </w:pPr>
    </w:p>
    <w:p w14:paraId="52F3E093" w14:textId="7FFC0CAA" w:rsidR="00D64B55" w:rsidRPr="00151BDD" w:rsidRDefault="00F64DE8" w:rsidP="00151BDD">
      <w:pPr>
        <w:pStyle w:val="ListParagraph"/>
        <w:numPr>
          <w:ilvl w:val="0"/>
          <w:numId w:val="10"/>
        </w:numPr>
        <w:spacing w:before="100" w:beforeAutospacing="1" w:after="100" w:afterAutospacing="1" w:line="276" w:lineRule="auto"/>
        <w:contextualSpacing/>
        <w:rPr>
          <w:spacing w:val="-2"/>
          <w:szCs w:val="24"/>
        </w:rPr>
      </w:pPr>
      <w:r w:rsidRPr="00151BDD">
        <w:rPr>
          <w:spacing w:val="-2"/>
        </w:rPr>
        <w:t xml:space="preserve">Se siete un attuale o ex funzionario, direttore, socio, titolare di una cospicua quota o dipendente della Società raccogliamo i dati relativi alle situazioni indicate di seguito: i) se siete stato un impiegato o funzionario di un governo, di un'agenzia governativa o di una società di proprietà o altrimenti controllata da un governo in un qualsiasi momento nel corso degli ultimi 5 anni; ii) se siete familiare di un dipendente o funzionario di un governo, di un'agenzia governativa o di una società di proprietà o altrimenti controllata da un governo; iii) se voi o un vostro parente prossimo siete stati dipendenti o membri di un'organizzazione internazionale (ad esempio, la Banca mondiale, il Fondo monetario internazionale, le Nazioni Unite, la Banca asiatica di sviluppo o l'Unione europea); iv) se avete qualche interesse nella vendita da parte della Società di prodotti Teleflex o ne trarrete beneficio in qualche modo; v) se siete titolari di qualche attività, ufficio o altri stabilimenti a Cuba, in Iran, Libia, Corea del Nord, Sudan, Siria o nella regione di Crimea </w:t>
      </w:r>
      <w:r w:rsidRPr="00151BDD">
        <w:rPr>
          <w:spacing w:val="-2"/>
        </w:rPr>
        <w:lastRenderedPageBreak/>
        <w:t>dell'Ucraina; vi) se siete mai stati inseriti in un elenco ristretto (ad esempio, l'Elenco delle Persone soggette a restrizioni sull'esportazione, l'Elenco non verificato o l'Elenco delle Entità del Ministero del Commercio degli Stati Uniti, o l'Elenco di SDN del Ministero del Tesoro degli Stati Uniti); vii) i dati relativi a quote di partecipazione detenute in altre società;</w:t>
      </w:r>
    </w:p>
    <w:p w14:paraId="52218A28" w14:textId="77777777" w:rsidR="00A71957" w:rsidRPr="0077374E" w:rsidRDefault="00A71957" w:rsidP="00151BDD">
      <w:pPr>
        <w:pStyle w:val="ListParagraph"/>
        <w:spacing w:before="100" w:beforeAutospacing="1" w:after="100" w:afterAutospacing="1" w:line="276" w:lineRule="auto"/>
        <w:contextualSpacing/>
        <w:rPr>
          <w:szCs w:val="24"/>
          <w:lang w:val="es-ES" w:eastAsia="en-IE"/>
        </w:rPr>
      </w:pPr>
    </w:p>
    <w:p w14:paraId="1E2E2A9C" w14:textId="77A40991" w:rsidR="0007186C" w:rsidRPr="0097748E" w:rsidRDefault="0007186C" w:rsidP="00151BDD">
      <w:pPr>
        <w:pStyle w:val="ListParagraph"/>
        <w:numPr>
          <w:ilvl w:val="0"/>
          <w:numId w:val="10"/>
        </w:numPr>
        <w:spacing w:before="100" w:beforeAutospacing="1" w:after="100" w:afterAutospacing="1" w:line="276" w:lineRule="auto"/>
        <w:contextualSpacing/>
        <w:rPr>
          <w:szCs w:val="24"/>
        </w:rPr>
      </w:pPr>
      <w:r>
        <w:t>Se siete un dipendente dedicato esclusivamente o principalmente alla vendita di prodotti Teleflex, fra i dati che raccogliamo rientrano il vostro nome, il titolo e gli anni di servizio presso il vostro datore di lavoro, l'identità e i dati di verifica nonché i documenti giustificativi come ad esempio la copia del passaporto;</w:t>
      </w:r>
    </w:p>
    <w:p w14:paraId="6BBDF725" w14:textId="77777777" w:rsidR="00A71957" w:rsidRPr="0077374E" w:rsidRDefault="00A71957" w:rsidP="00151BDD">
      <w:pPr>
        <w:pStyle w:val="ListParagraph"/>
        <w:spacing w:before="100" w:beforeAutospacing="1" w:after="100" w:afterAutospacing="1" w:line="276" w:lineRule="auto"/>
        <w:contextualSpacing/>
        <w:rPr>
          <w:szCs w:val="24"/>
          <w:lang w:val="es-ES" w:eastAsia="en-IE"/>
        </w:rPr>
      </w:pPr>
    </w:p>
    <w:p w14:paraId="510654B8" w14:textId="037ED9B6" w:rsidR="00D64B55" w:rsidRPr="0097748E" w:rsidRDefault="00F5606B" w:rsidP="00151BDD">
      <w:pPr>
        <w:pStyle w:val="ListParagraph"/>
        <w:numPr>
          <w:ilvl w:val="0"/>
          <w:numId w:val="10"/>
        </w:numPr>
        <w:spacing w:before="100" w:beforeAutospacing="1" w:after="100" w:afterAutospacing="1" w:line="276" w:lineRule="auto"/>
        <w:contextualSpacing/>
      </w:pPr>
      <w:r>
        <w:t xml:space="preserve">Raccogliamo dati sull'appartenenza, vostra o di un vostro parente prossimo, a un partito politico; </w:t>
      </w:r>
    </w:p>
    <w:p w14:paraId="71BF45BE" w14:textId="77777777" w:rsidR="00A71957" w:rsidRPr="0097748E" w:rsidRDefault="00A71957" w:rsidP="00151BDD">
      <w:pPr>
        <w:pStyle w:val="ListParagraph"/>
        <w:spacing w:before="100" w:beforeAutospacing="1" w:after="100" w:afterAutospacing="1" w:line="276" w:lineRule="auto"/>
        <w:contextualSpacing/>
      </w:pPr>
    </w:p>
    <w:p w14:paraId="5789BA72" w14:textId="32AEB76D" w:rsidR="00E2163E" w:rsidRPr="0097748E" w:rsidRDefault="00F5606B" w:rsidP="00151BDD">
      <w:pPr>
        <w:pStyle w:val="ListParagraph"/>
        <w:numPr>
          <w:ilvl w:val="0"/>
          <w:numId w:val="10"/>
        </w:numPr>
        <w:spacing w:before="100" w:beforeAutospacing="1" w:after="100" w:afterAutospacing="1" w:line="276" w:lineRule="auto"/>
        <w:contextualSpacing/>
        <w:rPr>
          <w:szCs w:val="24"/>
        </w:rPr>
      </w:pPr>
      <w:r>
        <w:t>Potremmo raccogliere dati per sapere se siete mai stato imputato, indagato, incriminato, accusato, condannato, se vi siete mai dichiarato colpevole o non avete contestato reati di concussione, corruzione o importazione, esportazione o distribuzione di beni;</w:t>
      </w:r>
    </w:p>
    <w:p w14:paraId="618338A0" w14:textId="77777777" w:rsidR="00FF6455" w:rsidRPr="0077374E" w:rsidRDefault="00FF6455" w:rsidP="00151BDD">
      <w:pPr>
        <w:pStyle w:val="ListParagraph"/>
        <w:spacing w:before="100" w:beforeAutospacing="1" w:after="100" w:afterAutospacing="1" w:line="276" w:lineRule="auto"/>
        <w:contextualSpacing/>
        <w:rPr>
          <w:szCs w:val="24"/>
          <w:lang w:val="es-ES" w:eastAsia="en-IE"/>
        </w:rPr>
      </w:pPr>
    </w:p>
    <w:p w14:paraId="22AE05D0" w14:textId="4DBCD70F" w:rsidR="0099227D" w:rsidRPr="0097748E" w:rsidRDefault="00E2163E" w:rsidP="003550FB">
      <w:pPr>
        <w:pStyle w:val="ListParagraph"/>
        <w:numPr>
          <w:ilvl w:val="0"/>
          <w:numId w:val="10"/>
        </w:numPr>
        <w:spacing w:before="100" w:beforeAutospacing="1" w:after="100" w:afterAutospacing="1" w:line="276" w:lineRule="auto"/>
        <w:contextualSpacing/>
        <w:rPr>
          <w:szCs w:val="24"/>
        </w:rPr>
      </w:pPr>
      <w:r>
        <w:t>Ulteriori dati che ci fornite, ad esempio mediante messaggi di posta elettronica o telefonate, a scopi di</w:t>
      </w:r>
      <w:r w:rsidR="00151BDD">
        <w:t> </w:t>
      </w:r>
      <w:r>
        <w:t>due diligence o per adempiere le finalità previste dal contratto di distribuzione stipulato fra la Società e</w:t>
      </w:r>
      <w:r w:rsidR="003550FB">
        <w:t> </w:t>
      </w:r>
      <w:r>
        <w:t xml:space="preserve">Teleflex. </w:t>
      </w:r>
    </w:p>
    <w:p w14:paraId="700B83D2" w14:textId="144F97E7" w:rsidR="003A04F0" w:rsidRPr="0097748E" w:rsidRDefault="003A04F0" w:rsidP="00151BDD">
      <w:pPr>
        <w:spacing w:before="100" w:beforeAutospacing="1" w:after="100" w:afterAutospacing="1" w:line="276" w:lineRule="auto"/>
        <w:rPr>
          <w:rFonts w:eastAsiaTheme="minorHAnsi" w:cs="Arial"/>
          <w:b/>
          <w:bCs/>
          <w:color w:val="333333"/>
        </w:rPr>
      </w:pPr>
      <w:r>
        <w:rPr>
          <w:b/>
          <w:bCs/>
          <w:color w:val="333333"/>
        </w:rPr>
        <w:t xml:space="preserve">Scopo e </w:t>
      </w:r>
      <w:r>
        <w:rPr>
          <w:b/>
          <w:color w:val="333333"/>
        </w:rPr>
        <w:t xml:space="preserve">base giuridica </w:t>
      </w:r>
      <w:r>
        <w:rPr>
          <w:b/>
          <w:bCs/>
          <w:color w:val="333333"/>
        </w:rPr>
        <w:t>per il trattamento dei vostri dati</w:t>
      </w:r>
    </w:p>
    <w:p w14:paraId="04CD0874" w14:textId="2F5F283A" w:rsidR="003A04F0" w:rsidRPr="0097748E" w:rsidRDefault="003A04F0" w:rsidP="00151BDD">
      <w:pPr>
        <w:spacing w:before="0" w:line="276" w:lineRule="auto"/>
        <w:rPr>
          <w:rFonts w:eastAsiaTheme="minorHAnsi" w:cs="Arial"/>
          <w:color w:val="333333"/>
        </w:rPr>
      </w:pPr>
      <w:r>
        <w:rPr>
          <w:color w:val="333333"/>
        </w:rPr>
        <w:t>Conserveremo, tratteremo e potremo rivelare i vostri dati personali per le finalità elencate di seguito:</w:t>
      </w:r>
    </w:p>
    <w:p w14:paraId="48C9F2AD" w14:textId="77777777" w:rsidR="003A04F0" w:rsidRPr="0097748E" w:rsidRDefault="003A04F0" w:rsidP="00151BDD">
      <w:pPr>
        <w:spacing w:before="0" w:line="276" w:lineRule="auto"/>
        <w:rPr>
          <w:rFonts w:eastAsiaTheme="minorHAnsi" w:cs="Arial"/>
          <w:color w:val="333333"/>
        </w:rPr>
      </w:pPr>
    </w:p>
    <w:tbl>
      <w:tblPr>
        <w:tblStyle w:val="TableGrid1"/>
        <w:tblW w:w="0" w:type="auto"/>
        <w:tblLook w:val="04A0" w:firstRow="1" w:lastRow="0" w:firstColumn="1" w:lastColumn="0" w:noHBand="0" w:noVBand="1"/>
      </w:tblPr>
      <w:tblGrid>
        <w:gridCol w:w="4965"/>
        <w:gridCol w:w="4913"/>
      </w:tblGrid>
      <w:tr w:rsidR="003A04F0" w:rsidRPr="0097748E" w14:paraId="1FF6E216" w14:textId="77777777" w:rsidTr="006E08C7">
        <w:trPr>
          <w:cnfStyle w:val="100000000000" w:firstRow="1" w:lastRow="0" w:firstColumn="0" w:lastColumn="0" w:oddVBand="0" w:evenVBand="0" w:oddHBand="0" w:evenHBand="0" w:firstRowFirstColumn="0" w:firstRowLastColumn="0" w:lastRowFirstColumn="0" w:lastRowLastColumn="0"/>
        </w:trPr>
        <w:tc>
          <w:tcPr>
            <w:tcW w:w="4965" w:type="dxa"/>
          </w:tcPr>
          <w:p w14:paraId="066FBAF5" w14:textId="77777777" w:rsidR="003A04F0" w:rsidRPr="0097748E" w:rsidRDefault="003A04F0" w:rsidP="00151BDD">
            <w:pPr>
              <w:spacing w:before="100" w:beforeAutospacing="1" w:line="276" w:lineRule="auto"/>
              <w:ind w:left="720"/>
              <w:rPr>
                <w:rFonts w:cs="Arial"/>
                <w:color w:val="333333"/>
              </w:rPr>
            </w:pPr>
            <w:r>
              <w:rPr>
                <w:color w:val="333333"/>
              </w:rPr>
              <w:t>Scopo del trattamento</w:t>
            </w:r>
          </w:p>
        </w:tc>
        <w:tc>
          <w:tcPr>
            <w:tcW w:w="4913" w:type="dxa"/>
          </w:tcPr>
          <w:p w14:paraId="0763EFE5" w14:textId="467B1B98" w:rsidR="003A04F0" w:rsidRPr="0097748E" w:rsidRDefault="003A04F0" w:rsidP="00151BDD">
            <w:pPr>
              <w:spacing w:before="100" w:beforeAutospacing="1" w:line="276" w:lineRule="auto"/>
              <w:ind w:left="411"/>
              <w:rPr>
                <w:rFonts w:cs="Arial"/>
                <w:color w:val="333333"/>
              </w:rPr>
            </w:pPr>
            <w:r>
              <w:rPr>
                <w:color w:val="333333"/>
              </w:rPr>
              <w:t>Base giuridica del trattamento</w:t>
            </w:r>
          </w:p>
        </w:tc>
      </w:tr>
      <w:tr w:rsidR="009B3B32" w:rsidRPr="0097748E" w14:paraId="32C9E909" w14:textId="77777777" w:rsidTr="006E08C7">
        <w:tc>
          <w:tcPr>
            <w:tcW w:w="4965" w:type="dxa"/>
          </w:tcPr>
          <w:p w14:paraId="14ECF362" w14:textId="7B84F318" w:rsidR="009B3B32" w:rsidRPr="0097748E" w:rsidRDefault="007F27C9" w:rsidP="00151BDD">
            <w:pPr>
              <w:spacing w:before="100" w:beforeAutospacing="1" w:after="100" w:afterAutospacing="1" w:line="276" w:lineRule="auto"/>
              <w:rPr>
                <w:szCs w:val="24"/>
              </w:rPr>
            </w:pPr>
            <w:r>
              <w:t>Svolgere e completare i nostri processi di due diligence e i processi di screening, compresa la realizzazione di ricerche e la verifica della vostra identità per garantire che il vostro nome non figuri in nessuno degli elenchi di cui all'</w:t>
            </w:r>
            <w:r>
              <w:rPr>
                <w:b/>
                <w:szCs w:val="24"/>
              </w:rPr>
              <w:t>allegato 2</w:t>
            </w:r>
            <w:r>
              <w:t>, fra cui gli elenchi relativi a sanzioni finanziarie o di altro tipo e l'elenco delle persone soggette a restrizioni sulle esportazioni.</w:t>
            </w:r>
          </w:p>
        </w:tc>
        <w:tc>
          <w:tcPr>
            <w:tcW w:w="4913" w:type="dxa"/>
          </w:tcPr>
          <w:p w14:paraId="6141C25A" w14:textId="10C3B86B" w:rsidR="00550486" w:rsidRPr="0097748E" w:rsidRDefault="009F1B83" w:rsidP="00151BDD">
            <w:pPr>
              <w:numPr>
                <w:ilvl w:val="0"/>
                <w:numId w:val="12"/>
              </w:numPr>
              <w:spacing w:before="100" w:beforeAutospacing="1" w:line="276" w:lineRule="auto"/>
              <w:rPr>
                <w:rFonts w:cs="Arial"/>
                <w:color w:val="333333"/>
              </w:rPr>
            </w:pPr>
            <w:r>
              <w:rPr>
                <w:color w:val="333333"/>
              </w:rPr>
              <w:t xml:space="preserve">Questo trattamento sarà effettuato sulla base del vostro </w:t>
            </w:r>
            <w:r>
              <w:rPr>
                <w:b/>
                <w:color w:val="333333"/>
              </w:rPr>
              <w:t>esplicito consenso</w:t>
            </w:r>
            <w:r>
              <w:rPr>
                <w:color w:val="333333"/>
              </w:rPr>
              <w:t>. Potete revocare il vostro consenso in qualsiasi momento contattandoci (cfr. la sezione "Contatti" di seguito)</w:t>
            </w:r>
            <w:bookmarkStart w:id="0" w:name="_GoBack"/>
            <w:bookmarkEnd w:id="0"/>
          </w:p>
        </w:tc>
      </w:tr>
      <w:tr w:rsidR="005A08A2" w:rsidRPr="0097748E" w14:paraId="27DE21D1" w14:textId="77777777" w:rsidTr="006E08C7">
        <w:tc>
          <w:tcPr>
            <w:tcW w:w="4965" w:type="dxa"/>
          </w:tcPr>
          <w:p w14:paraId="6BC57B5B" w14:textId="3D1B4CD7" w:rsidR="009A2DFF" w:rsidRPr="0097748E" w:rsidRDefault="005A08A2" w:rsidP="00151BDD">
            <w:pPr>
              <w:spacing w:line="276" w:lineRule="auto"/>
            </w:pPr>
            <w:r>
              <w:t>Fornirvi informazioni in relazione al processo di due diligence o al nostro rapporto commerciale;</w:t>
            </w:r>
          </w:p>
          <w:p w14:paraId="570E6DB6" w14:textId="5B5F9D02" w:rsidR="00F953B5" w:rsidRPr="0097748E" w:rsidRDefault="00BE1154" w:rsidP="00151BDD">
            <w:pPr>
              <w:spacing w:line="276" w:lineRule="auto"/>
              <w:rPr>
                <w:szCs w:val="24"/>
              </w:rPr>
            </w:pPr>
            <w:r>
              <w:t>Comunicarvi eventuali variazioni al nostro accordo commerciale;</w:t>
            </w:r>
          </w:p>
          <w:p w14:paraId="720E338C" w14:textId="5EC44E97" w:rsidR="00F953B5" w:rsidRPr="0097748E" w:rsidRDefault="00BE1154" w:rsidP="00151BDD">
            <w:pPr>
              <w:spacing w:line="276" w:lineRule="auto"/>
              <w:rPr>
                <w:szCs w:val="24"/>
              </w:rPr>
            </w:pPr>
            <w:r>
              <w:t>Rispettare l'accordo commerciale stipulato fra noi e la Società.</w:t>
            </w:r>
          </w:p>
          <w:p w14:paraId="6208A6E3" w14:textId="2C07E394" w:rsidR="00BE1154" w:rsidRPr="0097748E" w:rsidRDefault="00BE1154" w:rsidP="00151BDD">
            <w:pPr>
              <w:spacing w:line="276" w:lineRule="auto"/>
              <w:rPr>
                <w:szCs w:val="24"/>
              </w:rPr>
            </w:pPr>
            <w:r>
              <w:t>Completare e contribuire a eventuali verifiche.</w:t>
            </w:r>
          </w:p>
        </w:tc>
        <w:tc>
          <w:tcPr>
            <w:tcW w:w="4913" w:type="dxa"/>
          </w:tcPr>
          <w:p w14:paraId="00F73CA4" w14:textId="514DD295" w:rsidR="005A08A2" w:rsidRPr="00151BDD" w:rsidRDefault="00BE1154" w:rsidP="00151BDD">
            <w:pPr>
              <w:numPr>
                <w:ilvl w:val="0"/>
                <w:numId w:val="12"/>
              </w:numPr>
              <w:spacing w:line="276" w:lineRule="auto"/>
              <w:rPr>
                <w:rFonts w:cs="Arial"/>
                <w:color w:val="333333"/>
                <w:spacing w:val="-4"/>
              </w:rPr>
            </w:pPr>
            <w:r w:rsidRPr="00151BDD">
              <w:rPr>
                <w:color w:val="333333"/>
                <w:spacing w:val="-4"/>
              </w:rPr>
              <w:t>Questo utilizzo dei vostri dati è necessario per il nostro legittimo interesse commerciale nella gestione della nostra attività, comprese le finalità legali, amministrative, gestionali e relative al personale nonché per la prevenzione e la rilevazione di eventuali reati.</w:t>
            </w:r>
            <w:r w:rsidR="00B201F9">
              <w:rPr>
                <w:color w:val="333333"/>
                <w:spacing w:val="-4"/>
              </w:rPr>
              <w:t xml:space="preserve"> </w:t>
            </w:r>
            <w:r w:rsidRPr="00151BDD">
              <w:rPr>
                <w:color w:val="333333"/>
                <w:spacing w:val="-4"/>
              </w:rPr>
              <w:t>Abbiamo effettuato un test comparativo per garantire che questo nostro legittimo interesse commerciale non prevalga sui vostri interessi.</w:t>
            </w:r>
            <w:r w:rsidR="00B201F9">
              <w:rPr>
                <w:color w:val="333333"/>
                <w:spacing w:val="-4"/>
              </w:rPr>
              <w:t xml:space="preserve"> </w:t>
            </w:r>
            <w:r w:rsidRPr="00151BDD">
              <w:rPr>
                <w:color w:val="333333"/>
                <w:spacing w:val="-4"/>
              </w:rPr>
              <w:t xml:space="preserve">Per maggiori informazioni sul test comparativo effettuato da Teleflex, scrivete a PrivacyOfficial@teleflex.com. </w:t>
            </w:r>
            <w:r w:rsidRPr="00151BDD">
              <w:rPr>
                <w:b/>
                <w:color w:val="333333"/>
                <w:spacing w:val="-4"/>
              </w:rPr>
              <w:t xml:space="preserve">Vi comunichiamo che avete il diritto di opporvi al trattamento dei vostri dati personali qualora tale trattamento venga effettuato per il nostro legittimo interesse. </w:t>
            </w:r>
          </w:p>
        </w:tc>
      </w:tr>
    </w:tbl>
    <w:p w14:paraId="52985091" w14:textId="77777777" w:rsidR="0040176E" w:rsidRPr="0077374E" w:rsidRDefault="0040176E" w:rsidP="00151BDD">
      <w:pPr>
        <w:spacing w:before="0" w:after="100" w:afterAutospacing="1" w:line="276" w:lineRule="auto"/>
        <w:rPr>
          <w:b/>
          <w:szCs w:val="24"/>
          <w:lang w:eastAsia="en-IE"/>
        </w:rPr>
      </w:pPr>
    </w:p>
    <w:p w14:paraId="11FDAE45" w14:textId="77777777" w:rsidR="00A75A13" w:rsidRPr="0097748E" w:rsidRDefault="00A75A13" w:rsidP="00151BDD">
      <w:pPr>
        <w:pageBreakBefore/>
        <w:spacing w:before="0" w:after="100" w:afterAutospacing="1" w:line="276" w:lineRule="auto"/>
        <w:rPr>
          <w:b/>
          <w:szCs w:val="24"/>
        </w:rPr>
      </w:pPr>
      <w:r>
        <w:rPr>
          <w:b/>
          <w:szCs w:val="24"/>
        </w:rPr>
        <w:lastRenderedPageBreak/>
        <w:t xml:space="preserve">Categorie speciali di dati personali </w:t>
      </w:r>
    </w:p>
    <w:p w14:paraId="1C1849B8" w14:textId="77777777" w:rsidR="00A75A13" w:rsidRPr="0097748E" w:rsidRDefault="00A75A13" w:rsidP="00151BDD">
      <w:pPr>
        <w:spacing w:before="100" w:beforeAutospacing="1" w:after="100" w:afterAutospacing="1" w:line="276" w:lineRule="auto"/>
        <w:rPr>
          <w:szCs w:val="24"/>
        </w:rPr>
      </w:pPr>
      <w:r>
        <w:t xml:space="preserve">Determinate categorie dei vostri dati personali sono considerate "speciali". I dati speciali comprendono i dati di una persona relativi a: </w:t>
      </w:r>
    </w:p>
    <w:p w14:paraId="2CE1C7DF" w14:textId="6DE2DF26" w:rsidR="00434CF7" w:rsidRPr="0097748E" w:rsidRDefault="00A75A13" w:rsidP="00151BDD">
      <w:pPr>
        <w:spacing w:before="100" w:beforeAutospacing="1" w:after="100" w:afterAutospacing="1" w:line="276" w:lineRule="auto"/>
        <w:rPr>
          <w:szCs w:val="24"/>
        </w:rPr>
      </w:pPr>
      <w:r>
        <w:t>•</w:t>
      </w:r>
      <w:r>
        <w:tab/>
        <w:t xml:space="preserve">Salute fisica o mentale; </w:t>
      </w:r>
    </w:p>
    <w:p w14:paraId="692002EC" w14:textId="77777777" w:rsidR="00A75A13" w:rsidRPr="0097748E" w:rsidRDefault="00A75A13" w:rsidP="00151BDD">
      <w:pPr>
        <w:spacing w:before="100" w:beforeAutospacing="1" w:after="100" w:afterAutospacing="1" w:line="276" w:lineRule="auto"/>
        <w:rPr>
          <w:szCs w:val="24"/>
        </w:rPr>
      </w:pPr>
      <w:r>
        <w:t>•</w:t>
      </w:r>
      <w:r>
        <w:tab/>
        <w:t xml:space="preserve">Credo religioso, filosofico o politico; </w:t>
      </w:r>
    </w:p>
    <w:p w14:paraId="0C1D025C" w14:textId="77777777" w:rsidR="00A75A13" w:rsidRPr="0097748E" w:rsidRDefault="00A75A13" w:rsidP="00151BDD">
      <w:pPr>
        <w:spacing w:before="100" w:beforeAutospacing="1" w:after="100" w:afterAutospacing="1" w:line="276" w:lineRule="auto"/>
        <w:rPr>
          <w:szCs w:val="24"/>
        </w:rPr>
      </w:pPr>
      <w:r>
        <w:t>•</w:t>
      </w:r>
      <w:r>
        <w:tab/>
        <w:t>Appartenenza a sindacati;</w:t>
      </w:r>
    </w:p>
    <w:p w14:paraId="4FF0491B" w14:textId="77777777" w:rsidR="00A75A13" w:rsidRPr="0097748E" w:rsidRDefault="00A75A13" w:rsidP="00151BDD">
      <w:pPr>
        <w:spacing w:before="100" w:beforeAutospacing="1" w:after="100" w:afterAutospacing="1" w:line="276" w:lineRule="auto"/>
        <w:rPr>
          <w:szCs w:val="24"/>
        </w:rPr>
      </w:pPr>
      <w:r>
        <w:t>•</w:t>
      </w:r>
      <w:r>
        <w:tab/>
        <w:t xml:space="preserve">Origine etnica o razziale; </w:t>
      </w:r>
    </w:p>
    <w:p w14:paraId="503167CD" w14:textId="77777777" w:rsidR="00A75A13" w:rsidRPr="0097748E" w:rsidRDefault="00A75A13" w:rsidP="00151BDD">
      <w:pPr>
        <w:spacing w:before="100" w:beforeAutospacing="1" w:after="100" w:afterAutospacing="1" w:line="276" w:lineRule="auto"/>
        <w:rPr>
          <w:szCs w:val="24"/>
        </w:rPr>
      </w:pPr>
      <w:r>
        <w:t>•</w:t>
      </w:r>
      <w:r>
        <w:tab/>
        <w:t>Dati biometrici o genetici; e</w:t>
      </w:r>
    </w:p>
    <w:p w14:paraId="47069AD0" w14:textId="1267F8E5" w:rsidR="00A75A13" w:rsidRPr="0097748E" w:rsidRDefault="00A75A13" w:rsidP="00151BDD">
      <w:pPr>
        <w:spacing w:before="100" w:beforeAutospacing="1" w:after="100" w:afterAutospacing="1" w:line="276" w:lineRule="auto"/>
        <w:rPr>
          <w:szCs w:val="24"/>
        </w:rPr>
      </w:pPr>
      <w:r>
        <w:t>•</w:t>
      </w:r>
      <w:r>
        <w:tab/>
        <w:t>Orientamento sessuale.</w:t>
      </w:r>
    </w:p>
    <w:p w14:paraId="139EAFBF" w14:textId="3B9AC27C" w:rsidR="00BF02D2" w:rsidRPr="0097748E" w:rsidRDefault="00BF02D2" w:rsidP="00151BDD">
      <w:pPr>
        <w:spacing w:before="100" w:beforeAutospacing="1" w:after="100" w:afterAutospacing="1" w:line="276" w:lineRule="auto"/>
        <w:rPr>
          <w:b/>
          <w:bCs/>
          <w:szCs w:val="24"/>
        </w:rPr>
      </w:pPr>
      <w:r>
        <w:rPr>
          <w:b/>
          <w:bCs/>
          <w:szCs w:val="24"/>
        </w:rPr>
        <w:t xml:space="preserve">Scopo e </w:t>
      </w:r>
      <w:r>
        <w:rPr>
          <w:b/>
          <w:szCs w:val="24"/>
        </w:rPr>
        <w:t xml:space="preserve">base giuridica </w:t>
      </w:r>
      <w:r>
        <w:rPr>
          <w:b/>
          <w:bCs/>
          <w:szCs w:val="24"/>
        </w:rPr>
        <w:t>per il trattamento dei vostri dati</w:t>
      </w:r>
    </w:p>
    <w:p w14:paraId="49C8FA8B" w14:textId="77777777" w:rsidR="00BF02D2" w:rsidRPr="0097748E" w:rsidRDefault="00BF02D2" w:rsidP="00151BDD">
      <w:pPr>
        <w:spacing w:before="100" w:beforeAutospacing="1" w:after="100" w:afterAutospacing="1" w:line="276" w:lineRule="auto"/>
        <w:rPr>
          <w:szCs w:val="24"/>
        </w:rPr>
      </w:pPr>
      <w:r>
        <w:t>Conserveremo, tratteremo e potremo rivelare i vostri dati personali per le finalità elencate di seguito:</w:t>
      </w:r>
    </w:p>
    <w:tbl>
      <w:tblPr>
        <w:tblStyle w:val="TableGrid1"/>
        <w:tblW w:w="0" w:type="auto"/>
        <w:tblLook w:val="04A0" w:firstRow="1" w:lastRow="0" w:firstColumn="1" w:lastColumn="0" w:noHBand="0" w:noVBand="1"/>
      </w:tblPr>
      <w:tblGrid>
        <w:gridCol w:w="4965"/>
        <w:gridCol w:w="4913"/>
      </w:tblGrid>
      <w:tr w:rsidR="00BF02D2" w:rsidRPr="0097748E" w14:paraId="395C14F8" w14:textId="77777777" w:rsidTr="006E08C7">
        <w:trPr>
          <w:cnfStyle w:val="100000000000" w:firstRow="1" w:lastRow="0" w:firstColumn="0" w:lastColumn="0" w:oddVBand="0" w:evenVBand="0" w:oddHBand="0" w:evenHBand="0" w:firstRowFirstColumn="0" w:firstRowLastColumn="0" w:lastRowFirstColumn="0" w:lastRowLastColumn="0"/>
        </w:trPr>
        <w:tc>
          <w:tcPr>
            <w:tcW w:w="4965" w:type="dxa"/>
          </w:tcPr>
          <w:p w14:paraId="4B125A37" w14:textId="77777777" w:rsidR="00BF02D2" w:rsidRPr="0097748E" w:rsidRDefault="00BF02D2" w:rsidP="001978C2">
            <w:pPr>
              <w:spacing w:before="100" w:beforeAutospacing="1" w:after="100" w:afterAutospacing="1" w:line="276" w:lineRule="auto"/>
              <w:rPr>
                <w:szCs w:val="24"/>
              </w:rPr>
            </w:pPr>
            <w:r>
              <w:t>Scopo del trattamento</w:t>
            </w:r>
          </w:p>
        </w:tc>
        <w:tc>
          <w:tcPr>
            <w:tcW w:w="4913" w:type="dxa"/>
          </w:tcPr>
          <w:p w14:paraId="1A1BD8E2" w14:textId="7507EBB8" w:rsidR="00BF02D2" w:rsidRPr="0097748E" w:rsidRDefault="00BF02D2" w:rsidP="001978C2">
            <w:pPr>
              <w:spacing w:before="100" w:beforeAutospacing="1" w:after="100" w:afterAutospacing="1" w:line="276" w:lineRule="auto"/>
              <w:rPr>
                <w:szCs w:val="24"/>
              </w:rPr>
            </w:pPr>
            <w:r>
              <w:t>Base giuridica del trattamento</w:t>
            </w:r>
          </w:p>
        </w:tc>
      </w:tr>
      <w:tr w:rsidR="00BF02D2" w:rsidRPr="0097748E" w14:paraId="48528C9D" w14:textId="77777777" w:rsidTr="006E08C7">
        <w:tc>
          <w:tcPr>
            <w:tcW w:w="4965" w:type="dxa"/>
          </w:tcPr>
          <w:p w14:paraId="1C9D30C8" w14:textId="42B14642" w:rsidR="00BF02D2" w:rsidRPr="0097748E" w:rsidRDefault="00BF02D2" w:rsidP="00151BDD">
            <w:pPr>
              <w:spacing w:before="100" w:beforeAutospacing="1" w:after="100" w:afterAutospacing="1" w:line="276" w:lineRule="auto"/>
              <w:rPr>
                <w:szCs w:val="24"/>
              </w:rPr>
            </w:pPr>
            <w:r>
              <w:t>Svolgere e completare i nostri processi di due diligence e i processi di screening, compresa la realizzazione di ricerche e la verifica della vostra identità per garantire che il vostro nome non figuri in nessuno degli elenchi di cui all'</w:t>
            </w:r>
            <w:r>
              <w:rPr>
                <w:b/>
                <w:szCs w:val="24"/>
              </w:rPr>
              <w:t>allegato 2</w:t>
            </w:r>
            <w:r>
              <w:t xml:space="preserve">, fra cui gli elenchi relativi a sanzioni finanziarie o di altro tipo e l'elenco delle persone soggette a restrizioni sulle esportazioni. </w:t>
            </w:r>
          </w:p>
        </w:tc>
        <w:tc>
          <w:tcPr>
            <w:tcW w:w="4913" w:type="dxa"/>
          </w:tcPr>
          <w:p w14:paraId="26C0AA50" w14:textId="63D0CB9E" w:rsidR="00BF02D2" w:rsidRPr="0097748E" w:rsidRDefault="0040176E" w:rsidP="00151BDD">
            <w:pPr>
              <w:pStyle w:val="ListParagraph"/>
              <w:numPr>
                <w:ilvl w:val="0"/>
                <w:numId w:val="12"/>
              </w:numPr>
              <w:spacing w:before="100" w:beforeAutospacing="1" w:after="100" w:afterAutospacing="1" w:line="276" w:lineRule="auto"/>
              <w:rPr>
                <w:szCs w:val="24"/>
              </w:rPr>
            </w:pPr>
            <w:r>
              <w:t xml:space="preserve">Questo trattamento sarà effettuato sulla base del vostro </w:t>
            </w:r>
            <w:r>
              <w:rPr>
                <w:b/>
                <w:szCs w:val="24"/>
              </w:rPr>
              <w:t>esplicito consenso</w:t>
            </w:r>
            <w:r>
              <w:t>. Potete revocare il vostro consenso in qualsiasi momento contattandoci (cfr. la sezione "Contatti" di seguito)</w:t>
            </w:r>
          </w:p>
        </w:tc>
      </w:tr>
    </w:tbl>
    <w:p w14:paraId="13D89D58" w14:textId="3B23E8E3" w:rsidR="00201815" w:rsidRPr="0097748E" w:rsidRDefault="00C75802" w:rsidP="00151BDD">
      <w:pPr>
        <w:spacing w:before="100" w:beforeAutospacing="1" w:after="100" w:afterAutospacing="1" w:line="276" w:lineRule="auto"/>
        <w:rPr>
          <w:b/>
          <w:bCs/>
          <w:szCs w:val="27"/>
        </w:rPr>
      </w:pPr>
      <w:r>
        <w:t>Conserveremo i vostri dati esclusivamente per il periodo necessario a completare il processo di due diligence, per la durata dei servizi correlati che vi vengono forniti (ove applicabile) o secondo quanto disposto dalla legge.</w:t>
      </w:r>
    </w:p>
    <w:p w14:paraId="631AAC7A" w14:textId="6BAA1E22" w:rsidR="00CF4428" w:rsidRPr="0097748E" w:rsidRDefault="00201815" w:rsidP="00151BDD">
      <w:pPr>
        <w:spacing w:before="100" w:beforeAutospacing="1" w:after="100" w:afterAutospacing="1" w:line="276" w:lineRule="auto"/>
        <w:rPr>
          <w:szCs w:val="24"/>
        </w:rPr>
      </w:pPr>
      <w:r>
        <w:rPr>
          <w:b/>
          <w:bCs/>
          <w:szCs w:val="27"/>
        </w:rPr>
        <w:t>Destinatari dei vostri dati personali</w:t>
      </w:r>
    </w:p>
    <w:p w14:paraId="096F3D46" w14:textId="139A4332" w:rsidR="00DD0F28" w:rsidRPr="0097748E" w:rsidRDefault="00DD0F28" w:rsidP="00151BDD">
      <w:pPr>
        <w:spacing w:before="100" w:beforeAutospacing="1" w:after="100" w:afterAutospacing="1" w:line="276" w:lineRule="auto"/>
        <w:rPr>
          <w:szCs w:val="24"/>
        </w:rPr>
      </w:pPr>
      <w:r>
        <w:t>Potremo divulgare i dati che raccogliamo come descritto nella presente Informativa sulla privacy a soggetti terzi o ad agenti fra i quali anche i seguenti:</w:t>
      </w:r>
    </w:p>
    <w:p w14:paraId="0B8E58C9" w14:textId="2F11DD76" w:rsidR="00DD0F28" w:rsidRPr="0097748E" w:rsidRDefault="00EF13F3" w:rsidP="00151BDD">
      <w:pPr>
        <w:numPr>
          <w:ilvl w:val="0"/>
          <w:numId w:val="8"/>
        </w:numPr>
        <w:spacing w:before="100" w:beforeAutospacing="1" w:after="100" w:afterAutospacing="1" w:line="276" w:lineRule="auto"/>
        <w:rPr>
          <w:szCs w:val="24"/>
        </w:rPr>
      </w:pPr>
      <w:r>
        <w:t>Le nostre consociate, vale a dire le società controllate di Teleflex Incorporated;</w:t>
      </w:r>
    </w:p>
    <w:p w14:paraId="25B783F8" w14:textId="1451027E" w:rsidR="00F21051" w:rsidRPr="0097748E" w:rsidRDefault="00F21051" w:rsidP="00151BDD">
      <w:pPr>
        <w:numPr>
          <w:ilvl w:val="0"/>
          <w:numId w:val="8"/>
        </w:numPr>
        <w:spacing w:before="100" w:beforeAutospacing="1" w:after="100" w:afterAutospacing="1" w:line="276" w:lineRule="auto"/>
        <w:rPr>
          <w:szCs w:val="24"/>
        </w:rPr>
      </w:pPr>
      <w:r>
        <w:t xml:space="preserve">Gli appaltatori, ad esempio responsabili della conformità, consulenti fiscali, commercialisti e agenti di vendita; </w:t>
      </w:r>
    </w:p>
    <w:p w14:paraId="2076554D" w14:textId="2B0D2EC6" w:rsidR="00F21051" w:rsidRPr="0097748E" w:rsidRDefault="00190E21" w:rsidP="00151BDD">
      <w:pPr>
        <w:numPr>
          <w:ilvl w:val="0"/>
          <w:numId w:val="8"/>
        </w:numPr>
        <w:spacing w:before="100" w:beforeAutospacing="1" w:after="100" w:afterAutospacing="1" w:line="276" w:lineRule="auto"/>
        <w:rPr>
          <w:szCs w:val="24"/>
        </w:rPr>
      </w:pPr>
      <w:r>
        <w:t>Fornitori di servizi, ad esempio fornitori di servizi di gestione della contabilità del personale e di servizi di tecnologia delle informazioni;</w:t>
      </w:r>
    </w:p>
    <w:p w14:paraId="50E8F058" w14:textId="3E2F6D13" w:rsidR="00F21051" w:rsidRPr="0097748E" w:rsidRDefault="00091645" w:rsidP="00151BDD">
      <w:pPr>
        <w:numPr>
          <w:ilvl w:val="0"/>
          <w:numId w:val="8"/>
        </w:numPr>
        <w:spacing w:before="100" w:beforeAutospacing="1" w:after="100" w:afterAutospacing="1" w:line="276" w:lineRule="auto"/>
        <w:rPr>
          <w:szCs w:val="24"/>
        </w:rPr>
      </w:pPr>
      <w:r>
        <w:t>Consulenti legali, al fine di ottemperare ai nostri obblighi di legge, ottenere consulenza e difendere un diritto per via giudiziaria;</w:t>
      </w:r>
    </w:p>
    <w:p w14:paraId="05663C43" w14:textId="72FE6D0D" w:rsidR="00883B2B" w:rsidRPr="0097748E" w:rsidRDefault="00883B2B" w:rsidP="00151BDD">
      <w:pPr>
        <w:numPr>
          <w:ilvl w:val="0"/>
          <w:numId w:val="8"/>
        </w:numPr>
        <w:spacing w:before="100" w:beforeAutospacing="1" w:after="100" w:afterAutospacing="1" w:line="276" w:lineRule="auto"/>
        <w:rPr>
          <w:szCs w:val="24"/>
        </w:rPr>
      </w:pPr>
      <w:r>
        <w:t>Assicuratori, al fine di ottemperare ai nostri obblighi di legge, ottenere consulenza e difendere un diritto per via giudiziaria;</w:t>
      </w:r>
    </w:p>
    <w:p w14:paraId="636730B6" w14:textId="179564DE" w:rsidR="00F21051" w:rsidRPr="0097748E" w:rsidRDefault="00091645" w:rsidP="00151BDD">
      <w:pPr>
        <w:numPr>
          <w:ilvl w:val="0"/>
          <w:numId w:val="8"/>
        </w:numPr>
        <w:spacing w:before="100" w:beforeAutospacing="1" w:after="100" w:afterAutospacing="1" w:line="276" w:lineRule="auto"/>
        <w:rPr>
          <w:szCs w:val="24"/>
        </w:rPr>
      </w:pPr>
      <w:r>
        <w:t>Revisori dei conti, ai fini di ottemperare ai nostri obblighi di legge;</w:t>
      </w:r>
    </w:p>
    <w:p w14:paraId="6EF0CCE4" w14:textId="3D15698E" w:rsidR="00DD0F28" w:rsidRPr="0097748E" w:rsidRDefault="00DD0F28" w:rsidP="00151BDD">
      <w:pPr>
        <w:numPr>
          <w:ilvl w:val="0"/>
          <w:numId w:val="8"/>
        </w:numPr>
        <w:spacing w:before="100" w:beforeAutospacing="1" w:after="100" w:afterAutospacing="1" w:line="276" w:lineRule="auto"/>
        <w:rPr>
          <w:szCs w:val="24"/>
        </w:rPr>
      </w:pPr>
      <w:r>
        <w:t xml:space="preserve">Altri soggetti terzi di cui ci avvaliamo a supporto della nostra attività, del processo di due diligence/screening e della gestione del rapporto commerciale, quali KPMG e Dun &amp; Bradstreet; </w:t>
      </w:r>
    </w:p>
    <w:p w14:paraId="75631416" w14:textId="28EAB8CB" w:rsidR="00EF13F3" w:rsidRPr="0097748E" w:rsidRDefault="00F21051" w:rsidP="00151BDD">
      <w:pPr>
        <w:numPr>
          <w:ilvl w:val="0"/>
          <w:numId w:val="8"/>
        </w:numPr>
        <w:spacing w:before="100" w:beforeAutospacing="1" w:after="100" w:afterAutospacing="1" w:line="276" w:lineRule="auto"/>
        <w:rPr>
          <w:szCs w:val="24"/>
        </w:rPr>
      </w:pPr>
      <w:r>
        <w:lastRenderedPageBreak/>
        <w:t>Un acquirente o un altro successore in caso di fusione, cessione, ristrutturazione, riorganizzazione, dissoluzione o altra vendita o trasferimento – in tutto o in parte – di Teleflex e delle sue consociate, che siano con continuità di esercizio o in corso fallimento, liquidazione o procedimenti simili, nei quali i dati detenuti da noi circa i nostri fornitori di servizi siano tra i beni trasferiti.</w:t>
      </w:r>
    </w:p>
    <w:p w14:paraId="7CFE608B" w14:textId="75068FE4" w:rsidR="00C9139A" w:rsidRPr="0097748E" w:rsidRDefault="00DD0F28" w:rsidP="00151BDD">
      <w:pPr>
        <w:spacing w:before="100" w:beforeAutospacing="1" w:after="100" w:afterAutospacing="1" w:line="276" w:lineRule="auto"/>
        <w:rPr>
          <w:szCs w:val="24"/>
        </w:rPr>
      </w:pPr>
      <w:r>
        <w:t>Potremmo inoltre divulgare i dati:</w:t>
      </w:r>
    </w:p>
    <w:p w14:paraId="5EE93D12" w14:textId="22A4473E" w:rsidR="00C9139A" w:rsidRPr="0097748E" w:rsidRDefault="00DD0F28" w:rsidP="00151BDD">
      <w:pPr>
        <w:pStyle w:val="ListParagraph"/>
        <w:numPr>
          <w:ilvl w:val="0"/>
          <w:numId w:val="9"/>
        </w:numPr>
        <w:spacing w:before="100" w:beforeAutospacing="1" w:after="100" w:afterAutospacing="1" w:line="276" w:lineRule="auto"/>
        <w:rPr>
          <w:szCs w:val="24"/>
        </w:rPr>
      </w:pPr>
      <w:r>
        <w:t>Per rispettare ingiunzioni di tribunali, leggi o procedimenti giudiziari, anche in risposta a eventuali richieste del governo o di autorità regolamentari; e/o</w:t>
      </w:r>
    </w:p>
    <w:p w14:paraId="5BAFADFD" w14:textId="6AE2813E" w:rsidR="00DD0F28" w:rsidRPr="0097748E" w:rsidRDefault="00DD0F28" w:rsidP="00151BDD">
      <w:pPr>
        <w:pStyle w:val="ListParagraph"/>
        <w:numPr>
          <w:ilvl w:val="0"/>
          <w:numId w:val="9"/>
        </w:numPr>
        <w:spacing w:before="100" w:beforeAutospacing="1" w:after="100" w:afterAutospacing="1" w:line="276" w:lineRule="auto"/>
        <w:rPr>
          <w:szCs w:val="24"/>
        </w:rPr>
      </w:pPr>
      <w:r>
        <w:t>Se riteniamo che la divulgazione sia necessaria o opportuna per tutelare i diritti, la proprietà o la sicurezza di Teleflex e dei suoi dipendenti, dei nostri clienti o di altre persone. Ciò comprende lo scambio di informazioni con altre società, autorità pubbliche e organizzazioni ai fini della tutela antifrode, della conformità alle disposizioni doganali e commerciali e della riduzione del rischio di credito.</w:t>
      </w:r>
    </w:p>
    <w:p w14:paraId="25356763" w14:textId="257F8B9B" w:rsidR="00BE1BF8" w:rsidRPr="0097748E" w:rsidRDefault="00BE1BF8" w:rsidP="00151BDD">
      <w:pPr>
        <w:spacing w:before="100" w:beforeAutospacing="1" w:after="100" w:afterAutospacing="1" w:line="276" w:lineRule="auto"/>
        <w:rPr>
          <w:b/>
          <w:szCs w:val="24"/>
        </w:rPr>
      </w:pPr>
      <w:r>
        <w:rPr>
          <w:b/>
          <w:szCs w:val="24"/>
        </w:rPr>
        <w:t>Trasferimento di dati personali al di fuori del SEE</w:t>
      </w:r>
    </w:p>
    <w:p w14:paraId="46244767" w14:textId="113777E4" w:rsidR="00920C4C" w:rsidRPr="0097748E" w:rsidRDefault="00710AD9" w:rsidP="00151BDD">
      <w:pPr>
        <w:spacing w:before="100" w:beforeAutospacing="1" w:after="100" w:afterAutospacing="1" w:line="276" w:lineRule="auto"/>
        <w:rPr>
          <w:b/>
          <w:bCs/>
          <w:szCs w:val="27"/>
        </w:rPr>
      </w:pPr>
      <w:r>
        <w:t>Tali divulgazioni comporteranno il trasferimento dei dati verso paesi al di fuori dello Spazio economico europeo ("</w:t>
      </w:r>
      <w:r>
        <w:rPr>
          <w:b/>
          <w:szCs w:val="24"/>
        </w:rPr>
        <w:t>SEE</w:t>
      </w:r>
      <w:r>
        <w:t>"), fra cui gli Stati Uniti, che potrebbero non offrirvi un livello di tutela adeguato e pari a quello garantito nel SEE in relazione al trattamento dei vostri dati. Sono in atto opportune tutele per proteggere il trasferimento dei vostri dati.</w:t>
      </w:r>
      <w:r w:rsidR="00B201F9">
        <w:t xml:space="preserve"> </w:t>
      </w:r>
      <w:r>
        <w:t>Teleflex memorizza i dati su server ubicati negli Stati Uniti grazie a servizi di hosting forniti da soggetti terzi, TierPoint Hosted Solutions, 99 TW Alexander Durham, NC, USA 27709. TierPoint Hosted Solutions possiede la certificazione dello "Scudo per la privacy", che garantisce un ragionevole livello di protezione dei dati, come disposto dal Regolamento generale per la protezione dei dati ("</w:t>
      </w:r>
      <w:r>
        <w:rPr>
          <w:b/>
          <w:szCs w:val="24"/>
        </w:rPr>
        <w:t>GDPR</w:t>
      </w:r>
      <w:r>
        <w:t>").</w:t>
      </w:r>
      <w:r w:rsidR="00B201F9">
        <w:t xml:space="preserve"> </w:t>
      </w:r>
      <w:r>
        <w:t>Vi preghiamo di contattarci qualora desideriate ottenere ulteriori informazioni in relazione a dette tutele (cfr. la sezione "Contatti" qui di seguito).</w:t>
      </w:r>
    </w:p>
    <w:p w14:paraId="0638482A" w14:textId="20AEF234" w:rsidR="00B95131" w:rsidRPr="0097748E" w:rsidRDefault="004A76C6" w:rsidP="00151BDD">
      <w:pPr>
        <w:keepNext/>
        <w:spacing w:before="100" w:beforeAutospacing="1" w:after="100" w:afterAutospacing="1" w:line="276" w:lineRule="auto"/>
        <w:rPr>
          <w:szCs w:val="24"/>
        </w:rPr>
      </w:pPr>
      <w:r>
        <w:rPr>
          <w:b/>
          <w:bCs/>
          <w:szCs w:val="27"/>
        </w:rPr>
        <w:t>I vostri diritti</w:t>
      </w:r>
    </w:p>
    <w:p w14:paraId="469E078B" w14:textId="5EEDFC3A" w:rsidR="00E814CD" w:rsidRPr="0097748E" w:rsidRDefault="00E814CD" w:rsidP="00151BDD">
      <w:pPr>
        <w:spacing w:before="100" w:beforeAutospacing="1" w:after="100" w:afterAutospacing="1" w:line="276" w:lineRule="auto"/>
        <w:rPr>
          <w:szCs w:val="24"/>
        </w:rPr>
      </w:pPr>
      <w:r>
        <w:t xml:space="preserve">Avete il diritto di richiederci l'accesso ai vostri dati, la rettifica o la cancellazione degli stessi o la limitazione del trattamento; avete inoltre il diritto di opporvi al trattamento dei vostri dati nonché il diritto alla portabilità degli stessi. Di seguito si riepilogano le caratteristiche di questi diritti: </w:t>
      </w:r>
    </w:p>
    <w:p w14:paraId="379433CB" w14:textId="77777777" w:rsidR="00E814CD" w:rsidRPr="0097748E" w:rsidRDefault="00E814CD" w:rsidP="00151BDD">
      <w:pPr>
        <w:pStyle w:val="ListParagraph"/>
        <w:numPr>
          <w:ilvl w:val="0"/>
          <w:numId w:val="11"/>
        </w:numPr>
        <w:spacing w:line="276" w:lineRule="auto"/>
      </w:pPr>
      <w:r>
        <w:rPr>
          <w:b/>
        </w:rPr>
        <w:t>Il diritto di accesso</w:t>
      </w:r>
      <w:r>
        <w:t xml:space="preserve"> vi consente di ricevere una copia dei vostri dati.</w:t>
      </w:r>
    </w:p>
    <w:p w14:paraId="4B93B37C" w14:textId="77777777" w:rsidR="00E814CD" w:rsidRPr="0097748E" w:rsidRDefault="00E814CD" w:rsidP="00151BDD">
      <w:pPr>
        <w:pStyle w:val="ListParagraph"/>
        <w:numPr>
          <w:ilvl w:val="0"/>
          <w:numId w:val="11"/>
        </w:numPr>
        <w:spacing w:line="276" w:lineRule="auto"/>
      </w:pPr>
      <w:r>
        <w:rPr>
          <w:b/>
        </w:rPr>
        <w:t>Il diritto di rettifica</w:t>
      </w:r>
      <w:r>
        <w:t xml:space="preserve"> vi consente di correggere eventuali dati imprecisi o incompleti.</w:t>
      </w:r>
    </w:p>
    <w:p w14:paraId="7C59737C" w14:textId="77777777" w:rsidR="00E814CD" w:rsidRPr="0097748E" w:rsidRDefault="00E814CD" w:rsidP="00151BDD">
      <w:pPr>
        <w:pStyle w:val="ListParagraph"/>
        <w:numPr>
          <w:ilvl w:val="0"/>
          <w:numId w:val="11"/>
        </w:numPr>
        <w:spacing w:line="276" w:lineRule="auto"/>
        <w:rPr>
          <w:rFonts w:cs="Arial"/>
        </w:rPr>
      </w:pPr>
      <w:r>
        <w:rPr>
          <w:b/>
        </w:rPr>
        <w:t>Il diritto di cancellazione</w:t>
      </w:r>
      <w:r>
        <w:t xml:space="preserve"> vi consente di chiederci di cancellare i vostri dati in determinate circostanze, ad esempio quando non abbiamo più la necessità di trattarli o se ritenete che il loro trattamento non sia conforme alla legge. La vostra richiesta può essere respinta se il trattamento è necessario per adempiere un obbligo di legge stabilito dall'UE o dall'Irlanda o al fine di esercitare o difendere un diritto per via giudiziaria.</w:t>
      </w:r>
    </w:p>
    <w:p w14:paraId="33AF4A0B" w14:textId="671C0242" w:rsidR="00B05BE3" w:rsidRPr="0097748E" w:rsidRDefault="00E814CD" w:rsidP="00151BDD">
      <w:pPr>
        <w:pStyle w:val="ListParagraph"/>
        <w:numPr>
          <w:ilvl w:val="0"/>
          <w:numId w:val="11"/>
        </w:numPr>
        <w:spacing w:line="276" w:lineRule="auto"/>
        <w:rPr>
          <w:rFonts w:cs="Arial"/>
        </w:rPr>
      </w:pPr>
      <w:r>
        <w:rPr>
          <w:b/>
          <w:bCs/>
        </w:rPr>
        <w:t xml:space="preserve">Il diritto a limitare il trattamento </w:t>
      </w:r>
      <w:r>
        <w:t xml:space="preserve">vi consente di chiederci di sospendere il trattamenti dei vostri dati in determinate circostanze, ad esempio qualora vogliate verificarne la precisione o i nostri legittimi interessi nel trattarli. </w:t>
      </w:r>
    </w:p>
    <w:p w14:paraId="388F8886" w14:textId="77777777" w:rsidR="00B05BE3" w:rsidRPr="0077374E" w:rsidRDefault="00B05BE3" w:rsidP="00151BDD">
      <w:pPr>
        <w:pStyle w:val="ListParagraph"/>
        <w:spacing w:before="0" w:line="276" w:lineRule="auto"/>
        <w:ind w:left="714"/>
        <w:rPr>
          <w:rFonts w:cs="Arial"/>
          <w:lang w:val="es-ES" w:eastAsia="en-IE"/>
        </w:rPr>
      </w:pPr>
    </w:p>
    <w:p w14:paraId="1EAA769B" w14:textId="39A60C22" w:rsidR="00E814CD" w:rsidRPr="0097748E" w:rsidRDefault="00E814CD" w:rsidP="00151BDD">
      <w:pPr>
        <w:pStyle w:val="ListParagraph"/>
        <w:numPr>
          <w:ilvl w:val="0"/>
          <w:numId w:val="11"/>
        </w:numPr>
        <w:spacing w:before="0" w:line="276" w:lineRule="auto"/>
        <w:ind w:left="714" w:hanging="357"/>
        <w:rPr>
          <w:rFonts w:cs="Arial"/>
        </w:rPr>
      </w:pPr>
      <w:r>
        <w:rPr>
          <w:b/>
        </w:rPr>
        <w:t xml:space="preserve">Il diritto di opporsi </w:t>
      </w:r>
      <w:r>
        <w:t>vi consente di opporvi</w:t>
      </w:r>
      <w:r w:rsidR="00B201F9">
        <w:t xml:space="preserve"> </w:t>
      </w:r>
      <w:r>
        <w:t>al trattamento dei vostri dati in determinate circostanze, fra cui quando il trattamento viene effettuato sulla base dei nostri interessi legittimi (o di quelli di terzi) o quando utilizziamo i vostri dati per finalità di marketing diretto.</w:t>
      </w:r>
      <w:r w:rsidR="00B201F9">
        <w:t xml:space="preserve"> </w:t>
      </w:r>
      <w:r>
        <w:t>Sospenderemo tale trattamento a meno che non vi siano validi e legittimi motivi per non farlo o il trattamento sia necessario al fine di esercitare o difendere un diritto per via giudiziaria. Avete inoltre il diritto di opporvi al trattamento dei vostri dati a scopo di marketing diretto.</w:t>
      </w:r>
    </w:p>
    <w:p w14:paraId="4AAC5A65" w14:textId="77777777" w:rsidR="00B05BE3" w:rsidRPr="0097748E" w:rsidRDefault="00B05BE3" w:rsidP="00151BDD">
      <w:pPr>
        <w:pStyle w:val="ListParagraph"/>
        <w:spacing w:before="0" w:line="276" w:lineRule="auto"/>
        <w:ind w:left="714"/>
        <w:rPr>
          <w:rFonts w:cs="Arial"/>
          <w:lang w:val="en" w:eastAsia="en-IE"/>
        </w:rPr>
      </w:pPr>
    </w:p>
    <w:p w14:paraId="1904BD0A" w14:textId="6A971607" w:rsidR="00E300D8" w:rsidRPr="0097748E" w:rsidRDefault="00E814CD" w:rsidP="00151BDD">
      <w:pPr>
        <w:pStyle w:val="ListParagraph"/>
        <w:numPr>
          <w:ilvl w:val="0"/>
          <w:numId w:val="11"/>
        </w:numPr>
        <w:spacing w:before="0" w:after="100" w:afterAutospacing="1" w:line="276" w:lineRule="auto"/>
        <w:ind w:left="714" w:hanging="357"/>
        <w:rPr>
          <w:szCs w:val="24"/>
        </w:rPr>
      </w:pPr>
      <w:r>
        <w:rPr>
          <w:b/>
        </w:rPr>
        <w:lastRenderedPageBreak/>
        <w:t xml:space="preserve">Il diritto alla portabilità dei dati </w:t>
      </w:r>
      <w:r>
        <w:t xml:space="preserve">vi consente di richiederci di trasferire i dati da voi ricevuti a un soggetto terzo senza impedimenti, o di consegnarvi una copia dei vostri dati in modo che voi stessi li possiate trasmettere a un soggetto terzo. </w:t>
      </w:r>
    </w:p>
    <w:p w14:paraId="62265799" w14:textId="2B0F7CD8" w:rsidR="00CF4428" w:rsidRPr="0097748E" w:rsidRDefault="00CF4428" w:rsidP="00151BDD">
      <w:pPr>
        <w:spacing w:before="100" w:beforeAutospacing="1" w:after="100" w:afterAutospacing="1" w:line="276" w:lineRule="auto"/>
        <w:ind w:left="360"/>
        <w:rPr>
          <w:szCs w:val="24"/>
        </w:rPr>
      </w:pPr>
      <w:r>
        <w:t>Risponderemo alla vostra richiesta per iscritto, o oralmente se richiesto, non appena possibile e in ogni caso non più tardi di un mese a partire dal ricevimento della vostra richiesta. Potremmo richiedervi di dimostrare la vostra identità per verificare la vostra richiesta. Tutte le richieste devono essere indirizzate a PrivacyOfficial@teleflex.com.</w:t>
      </w:r>
    </w:p>
    <w:p w14:paraId="6C7F526D" w14:textId="2EEDB8CB" w:rsidR="00BC3A08" w:rsidRPr="0097748E" w:rsidRDefault="007951AE" w:rsidP="00151BDD">
      <w:pPr>
        <w:spacing w:before="100" w:beforeAutospacing="1" w:after="100" w:afterAutospacing="1" w:line="276" w:lineRule="auto"/>
        <w:rPr>
          <w:szCs w:val="24"/>
        </w:rPr>
      </w:pPr>
      <w:r>
        <w:t xml:space="preserve">Avete il diritto di presentare un reclamo presso l'Autorità per la vigilanza sui dati, in particolare nello Stato membro di vostra residenza, nella località di lavoro o nel luogo della presunta infrazione, qualora riteniate che il trattamento dei vostri dati violi il Regolamento generale sulla protezione dei dati (GDPR). </w:t>
      </w:r>
    </w:p>
    <w:p w14:paraId="1256E8BB" w14:textId="08754B64" w:rsidR="00EC5051" w:rsidRPr="0097748E" w:rsidRDefault="00EC5051" w:rsidP="00151BDD">
      <w:pPr>
        <w:spacing w:before="100" w:beforeAutospacing="1" w:after="100" w:afterAutospacing="1" w:line="276" w:lineRule="auto"/>
        <w:rPr>
          <w:b/>
        </w:rPr>
      </w:pPr>
      <w:r>
        <w:rPr>
          <w:b/>
        </w:rPr>
        <w:t>Sicurezza e luogo di archiviazione dei vostri dati personali</w:t>
      </w:r>
    </w:p>
    <w:p w14:paraId="61EA5DDE" w14:textId="16D9E212" w:rsidR="00EF386F" w:rsidRPr="0097748E" w:rsidRDefault="00EC5051" w:rsidP="00151BDD">
      <w:pPr>
        <w:spacing w:before="100" w:beforeAutospacing="1" w:after="100" w:afterAutospacing="1" w:line="276" w:lineRule="auto"/>
        <w:rPr>
          <w:b/>
          <w:szCs w:val="24"/>
        </w:rPr>
      </w:pPr>
      <w:r>
        <w:t>Ci impegniamo a tutelare la sicurezza dei vostri dati. Ci avvaliamo di numerose tecnologie e procedure di sicurezza per proteggere i vostri dati, tenendo conto dei rischi che il trattamento comporta, in particolare dalla distruzione accidentale o illecita, alla perdita, la modifica, la divulgazione dei dati trasmessi, memorizzati o utilizzati o l'accesso agli stessi senza autorizzazione. Abbiamo messo in atto rigidi orientamenti interni per garantire la tutela della vostra privacy ad ogni livello della nostra organizzazione. Continueremo a rivedere le nostre politiche e ad adottare ulteriori funzionalità di sicurezza man mano che si renderanno disponibili nuove tecnologie.</w:t>
      </w:r>
    </w:p>
    <w:p w14:paraId="6C5B6B17" w14:textId="6DD57DD0" w:rsidR="00CF4428" w:rsidRPr="0097748E" w:rsidRDefault="00A00B15" w:rsidP="00151BDD">
      <w:pPr>
        <w:spacing w:before="100" w:beforeAutospacing="1" w:after="100" w:afterAutospacing="1" w:line="276" w:lineRule="auto"/>
        <w:rPr>
          <w:b/>
          <w:bCs/>
          <w:szCs w:val="27"/>
        </w:rPr>
      </w:pPr>
      <w:r>
        <w:rPr>
          <w:b/>
          <w:bCs/>
          <w:szCs w:val="27"/>
        </w:rPr>
        <w:t>Modifiche alla presente Informativa sulla privacy</w:t>
      </w:r>
    </w:p>
    <w:p w14:paraId="59B435D8" w14:textId="3248767F" w:rsidR="005B1D2A" w:rsidRPr="0097748E" w:rsidRDefault="00CF4428" w:rsidP="00151BDD">
      <w:pPr>
        <w:spacing w:before="100" w:beforeAutospacing="1" w:after="100" w:afterAutospacing="1" w:line="276" w:lineRule="auto"/>
        <w:rPr>
          <w:szCs w:val="24"/>
        </w:rPr>
      </w:pPr>
      <w:r>
        <w:t xml:space="preserve">Ci riserviamo il diritto di modificare, di tanto in tanto, la presente Informativa sulla privacy a nostra esclusiva discrezione. Vi comunicheremo qualsiasi modifica rilevante contattando la Società per iscritto e avvisando delle modifiche introdotte. </w:t>
      </w:r>
    </w:p>
    <w:p w14:paraId="477D3BDB" w14:textId="77777777" w:rsidR="00CF4428" w:rsidRPr="0097748E" w:rsidRDefault="00CF4428" w:rsidP="00151BDD">
      <w:pPr>
        <w:spacing w:before="100" w:beforeAutospacing="1" w:after="100" w:afterAutospacing="1" w:line="276" w:lineRule="auto"/>
        <w:rPr>
          <w:b/>
          <w:bCs/>
          <w:szCs w:val="27"/>
        </w:rPr>
      </w:pPr>
      <w:r>
        <w:rPr>
          <w:b/>
          <w:bCs/>
          <w:szCs w:val="27"/>
        </w:rPr>
        <w:t>Contatti</w:t>
      </w:r>
    </w:p>
    <w:p w14:paraId="5DD4E2C4" w14:textId="31C5D2CF" w:rsidR="00B44EB7" w:rsidRPr="0097748E" w:rsidRDefault="00CF4428" w:rsidP="00151BDD">
      <w:pPr>
        <w:spacing w:before="100" w:beforeAutospacing="1" w:after="100" w:afterAutospacing="1" w:line="276" w:lineRule="auto"/>
      </w:pPr>
      <w:r>
        <w:t>Domande, osservazioni, richieste e reclami riguardanti la presente Informativa sulla privacy e le informazioni in nostro possesso sono i benvenuti e devono essere indirizzati a: PrivacyOfficial@teleflex.com.</w:t>
      </w:r>
    </w:p>
    <w:p w14:paraId="0FC32330" w14:textId="77777777" w:rsidR="00B44EB7" w:rsidRPr="0097748E" w:rsidRDefault="00B44EB7" w:rsidP="00151BDD">
      <w:pPr>
        <w:spacing w:line="276" w:lineRule="auto"/>
      </w:pPr>
      <w:r>
        <w:br w:type="page"/>
      </w:r>
    </w:p>
    <w:p w14:paraId="1386956A" w14:textId="5AA640EF" w:rsidR="00A703A4" w:rsidRPr="0097748E" w:rsidRDefault="00B44EB7" w:rsidP="00151BDD">
      <w:pPr>
        <w:spacing w:before="100" w:beforeAutospacing="1" w:after="100" w:afterAutospacing="1" w:line="276" w:lineRule="auto"/>
        <w:jc w:val="center"/>
        <w:rPr>
          <w:b/>
          <w:u w:val="single"/>
        </w:rPr>
      </w:pPr>
      <w:r>
        <w:rPr>
          <w:b/>
          <w:u w:val="single"/>
        </w:rPr>
        <w:lastRenderedPageBreak/>
        <w:t>ALLEGATO 1</w:t>
      </w:r>
    </w:p>
    <w:p w14:paraId="37160770" w14:textId="7464E37B" w:rsidR="00A703A4" w:rsidRPr="0097748E" w:rsidRDefault="003D1D38" w:rsidP="00151BDD">
      <w:pPr>
        <w:spacing w:line="276" w:lineRule="auto"/>
      </w:pPr>
      <w:r>
        <w:t>Teleflex Medical Europe Limited</w:t>
      </w:r>
    </w:p>
    <w:p w14:paraId="1C7FF84A" w14:textId="5CF3EE8A" w:rsidR="003D1D38" w:rsidRPr="0097748E" w:rsidRDefault="003D1D38" w:rsidP="00151BDD">
      <w:pPr>
        <w:spacing w:line="276" w:lineRule="auto"/>
      </w:pPr>
      <w:r>
        <w:t>Teleflex Medical BVBA</w:t>
      </w:r>
    </w:p>
    <w:p w14:paraId="7ECF8F47" w14:textId="57922892" w:rsidR="003D1D38" w:rsidRPr="0097748E" w:rsidRDefault="003D1D38" w:rsidP="00151BDD">
      <w:pPr>
        <w:spacing w:line="276" w:lineRule="auto"/>
      </w:pPr>
      <w:r>
        <w:t xml:space="preserve">ARROW International CR, a.s. </w:t>
      </w:r>
    </w:p>
    <w:p w14:paraId="15131F2B" w14:textId="7BB887B5" w:rsidR="003D1D38" w:rsidRPr="0097748E" w:rsidRDefault="003D1D38" w:rsidP="00151BDD">
      <w:pPr>
        <w:spacing w:line="276" w:lineRule="auto"/>
      </w:pPr>
      <w:r>
        <w:t>Teleflex Medical, s.r.o.</w:t>
      </w:r>
    </w:p>
    <w:p w14:paraId="1D2B43A1" w14:textId="77992158" w:rsidR="003D1D38" w:rsidRPr="0097748E" w:rsidRDefault="003D1D38" w:rsidP="00151BDD">
      <w:pPr>
        <w:spacing w:line="276" w:lineRule="auto"/>
      </w:pPr>
      <w:r>
        <w:t>Teleflex Medical SAS</w:t>
      </w:r>
    </w:p>
    <w:p w14:paraId="308EF855" w14:textId="77777777" w:rsidR="00D051F0" w:rsidRDefault="00D051F0" w:rsidP="00151BDD">
      <w:pPr>
        <w:spacing w:line="276" w:lineRule="auto"/>
      </w:pPr>
      <w:r>
        <w:t>Teleflex Medical, S.A.</w:t>
      </w:r>
    </w:p>
    <w:p w14:paraId="48A11A70" w14:textId="77D9A6B3" w:rsidR="003D1D38" w:rsidRPr="0097748E" w:rsidRDefault="003D1D38" w:rsidP="00151BDD">
      <w:pPr>
        <w:spacing w:line="276" w:lineRule="auto"/>
      </w:pPr>
      <w:r>
        <w:t>Teleflex Medical GmbH</w:t>
      </w:r>
    </w:p>
    <w:p w14:paraId="556DD4D8" w14:textId="528A4C30" w:rsidR="003D1D38" w:rsidRPr="0097748E" w:rsidRDefault="003D1D38" w:rsidP="00151BDD">
      <w:pPr>
        <w:spacing w:line="276" w:lineRule="auto"/>
      </w:pPr>
      <w:r>
        <w:t>Teleflex Medical Hellas s.a.</w:t>
      </w:r>
    </w:p>
    <w:p w14:paraId="1E99C0D4" w14:textId="6E6F665F" w:rsidR="003D1D38" w:rsidRPr="0097748E" w:rsidRDefault="003D1D38" w:rsidP="00151BDD">
      <w:pPr>
        <w:spacing w:line="276" w:lineRule="auto"/>
      </w:pPr>
      <w:r>
        <w:t>Teleflex Medical B.V.</w:t>
      </w:r>
    </w:p>
    <w:p w14:paraId="42B73CB4" w14:textId="336733A4" w:rsidR="003D1D38" w:rsidRPr="0097748E" w:rsidRDefault="003D1D38" w:rsidP="00151BDD">
      <w:pPr>
        <w:spacing w:line="276" w:lineRule="auto"/>
      </w:pPr>
      <w:r>
        <w:t>Teleflex Polska sp. z o.o.</w:t>
      </w:r>
    </w:p>
    <w:p w14:paraId="1934EF79" w14:textId="6BD461B7" w:rsidR="003D1D38" w:rsidRDefault="003D1D38" w:rsidP="00151BDD">
      <w:pPr>
        <w:spacing w:line="276" w:lineRule="auto"/>
      </w:pPr>
      <w:r>
        <w:t>TFX Group Limited</w:t>
      </w:r>
    </w:p>
    <w:p w14:paraId="7EB2BF71" w14:textId="5616A3FE" w:rsidR="00D051F0" w:rsidRPr="0097748E" w:rsidRDefault="00D051F0" w:rsidP="00151BDD">
      <w:pPr>
        <w:spacing w:line="276" w:lineRule="auto"/>
      </w:pPr>
      <w:r>
        <w:t>NeoTract, Inc.</w:t>
      </w:r>
    </w:p>
    <w:p w14:paraId="67AC5E30" w14:textId="77777777" w:rsidR="00CF4428" w:rsidRPr="0097748E" w:rsidRDefault="00CF4428" w:rsidP="00151BDD">
      <w:pPr>
        <w:spacing w:before="100" w:beforeAutospacing="1" w:after="100" w:afterAutospacing="1" w:line="276" w:lineRule="auto"/>
        <w:rPr>
          <w:b/>
          <w:u w:val="single"/>
        </w:rPr>
      </w:pPr>
    </w:p>
    <w:p w14:paraId="167FCC43" w14:textId="77777777" w:rsidR="003D1D38" w:rsidRPr="0097748E" w:rsidRDefault="003D1D38" w:rsidP="00151BDD">
      <w:pPr>
        <w:spacing w:before="100" w:beforeAutospacing="1" w:after="100" w:afterAutospacing="1" w:line="276" w:lineRule="auto"/>
        <w:rPr>
          <w:b/>
          <w:u w:val="single"/>
        </w:rPr>
      </w:pPr>
      <w:r>
        <w:br w:type="page"/>
      </w:r>
    </w:p>
    <w:p w14:paraId="1935F81A" w14:textId="49BA98AC" w:rsidR="00B44EB7" w:rsidRPr="0097748E" w:rsidRDefault="00B44EB7" w:rsidP="00151BDD">
      <w:pPr>
        <w:spacing w:before="100" w:beforeAutospacing="1" w:after="100" w:afterAutospacing="1" w:line="276" w:lineRule="auto"/>
        <w:jc w:val="center"/>
        <w:rPr>
          <w:b/>
          <w:u w:val="single"/>
        </w:rPr>
      </w:pPr>
      <w:r>
        <w:rPr>
          <w:b/>
          <w:u w:val="single"/>
        </w:rPr>
        <w:lastRenderedPageBreak/>
        <w:t>ALLEGATO 2</w:t>
      </w:r>
    </w:p>
    <w:p w14:paraId="71D33F5E" w14:textId="77777777" w:rsidR="009E186A" w:rsidRPr="009E186A" w:rsidRDefault="009E186A" w:rsidP="00151BDD">
      <w:pPr>
        <w:spacing w:before="0" w:line="240" w:lineRule="auto"/>
        <w:rPr>
          <w:rFonts w:ascii="Verdana" w:hAnsi="Verdana"/>
          <w:sz w:val="16"/>
          <w:szCs w:val="16"/>
        </w:rPr>
      </w:pPr>
      <w:r>
        <w:rPr>
          <w:rFonts w:ascii="Verdana" w:hAnsi="Verdana"/>
          <w:b/>
          <w:bCs/>
          <w:i/>
          <w:iCs/>
          <w:color w:val="000066"/>
          <w:sz w:val="16"/>
          <w:szCs w:val="16"/>
        </w:rPr>
        <w:t>Elenchi di persone bloccate, soggette a restrizioni o persone a cui è negata l'autorizzazione all'esportazione</w:t>
      </w:r>
    </w:p>
    <w:p w14:paraId="5032E7F7" w14:textId="265B3EF5" w:rsidR="009E186A" w:rsidRPr="009E186A" w:rsidRDefault="009E186A" w:rsidP="00151BDD">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Ministero del Commercio</w:t>
      </w:r>
      <w:r w:rsidR="00151BDD">
        <w:rPr>
          <w:rFonts w:ascii="Verdana" w:hAnsi="Verdana"/>
          <w:sz w:val="16"/>
          <w:szCs w:val="16"/>
        </w:rPr>
        <w:t xml:space="preserve"> – </w:t>
      </w:r>
      <w:r>
        <w:rPr>
          <w:rFonts w:ascii="Verdana" w:hAnsi="Verdana"/>
          <w:sz w:val="16"/>
          <w:szCs w:val="16"/>
        </w:rPr>
        <w:t>Persone soggette a restrizioni sull'esportazione [BIS]</w:t>
      </w:r>
    </w:p>
    <w:p w14:paraId="4BF9E172" w14:textId="13E6EEEB" w:rsidR="009E186A" w:rsidRPr="009E186A" w:rsidRDefault="009E186A" w:rsidP="00151BDD">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Ministero del Commercio</w:t>
      </w:r>
      <w:r w:rsidR="00151BDD">
        <w:rPr>
          <w:rFonts w:ascii="Verdana" w:hAnsi="Verdana"/>
          <w:sz w:val="16"/>
          <w:szCs w:val="16"/>
        </w:rPr>
        <w:t xml:space="preserve"> – </w:t>
      </w:r>
      <w:r>
        <w:rPr>
          <w:rFonts w:ascii="Verdana" w:hAnsi="Verdana"/>
          <w:sz w:val="16"/>
          <w:szCs w:val="16"/>
        </w:rPr>
        <w:t>Elenco di Entità di commercio [BIS]</w:t>
      </w:r>
    </w:p>
    <w:p w14:paraId="4C4AAFC6" w14:textId="4BFB8C9A" w:rsidR="009E186A" w:rsidRPr="009E186A" w:rsidRDefault="009E186A" w:rsidP="00151BDD">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Ministero del Commercio</w:t>
      </w:r>
      <w:r w:rsidR="00151BDD">
        <w:rPr>
          <w:rFonts w:ascii="Verdana" w:hAnsi="Verdana"/>
          <w:sz w:val="16"/>
          <w:szCs w:val="16"/>
        </w:rPr>
        <w:t xml:space="preserve"> – </w:t>
      </w:r>
      <w:r>
        <w:rPr>
          <w:rFonts w:ascii="Verdana" w:hAnsi="Verdana"/>
          <w:sz w:val="16"/>
          <w:szCs w:val="16"/>
        </w:rPr>
        <w:t>Elenco di Entità "non verificate" [BIS]</w:t>
      </w:r>
    </w:p>
    <w:p w14:paraId="68462534" w14:textId="4C07A796" w:rsidR="009E186A" w:rsidRPr="009E186A" w:rsidRDefault="009E186A" w:rsidP="00151BDD">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Dipartimento di Stato</w:t>
      </w:r>
      <w:r w:rsidR="00151BDD">
        <w:rPr>
          <w:rFonts w:ascii="Verdana" w:hAnsi="Verdana"/>
          <w:sz w:val="16"/>
          <w:szCs w:val="16"/>
        </w:rPr>
        <w:t xml:space="preserve"> – </w:t>
      </w:r>
      <w:r>
        <w:rPr>
          <w:rFonts w:ascii="Verdana" w:hAnsi="Verdana"/>
          <w:sz w:val="16"/>
          <w:szCs w:val="16"/>
        </w:rPr>
        <w:t>Legge sul controllo delle esportazioni</w:t>
      </w:r>
      <w:r w:rsidR="00151BDD">
        <w:rPr>
          <w:rFonts w:ascii="Verdana" w:hAnsi="Verdana"/>
          <w:sz w:val="16"/>
          <w:szCs w:val="16"/>
        </w:rPr>
        <w:t xml:space="preserve"> – </w:t>
      </w:r>
      <w:r>
        <w:rPr>
          <w:rFonts w:ascii="Verdana" w:hAnsi="Verdana"/>
          <w:sz w:val="16"/>
          <w:szCs w:val="16"/>
        </w:rPr>
        <w:t>Parti escluse [DDTC]</w:t>
      </w:r>
    </w:p>
    <w:p w14:paraId="660E39C5" w14:textId="26B9F14B" w:rsidR="009E186A" w:rsidRPr="009E186A" w:rsidRDefault="009E186A" w:rsidP="00151BDD">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Dipartimento di Stato</w:t>
      </w:r>
      <w:r w:rsidR="00151BDD">
        <w:rPr>
          <w:rFonts w:ascii="Verdana" w:hAnsi="Verdana"/>
          <w:sz w:val="16"/>
          <w:szCs w:val="16"/>
        </w:rPr>
        <w:t xml:space="preserve"> – </w:t>
      </w:r>
      <w:r>
        <w:rPr>
          <w:rFonts w:ascii="Verdana" w:hAnsi="Verdana"/>
          <w:sz w:val="16"/>
          <w:szCs w:val="16"/>
        </w:rPr>
        <w:t>Elenco di Entità soggette a restrizioni associate con Cuba</w:t>
      </w:r>
    </w:p>
    <w:p w14:paraId="4ACB1A66" w14:textId="02D840AB" w:rsidR="009E186A" w:rsidRPr="009E186A" w:rsidRDefault="009E186A" w:rsidP="00151BDD">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Dipartimento di Stato</w:t>
      </w:r>
      <w:r w:rsidR="00151BDD">
        <w:rPr>
          <w:rFonts w:ascii="Verdana" w:hAnsi="Verdana"/>
          <w:sz w:val="16"/>
          <w:szCs w:val="16"/>
        </w:rPr>
        <w:t xml:space="preserve"> – </w:t>
      </w:r>
      <w:r>
        <w:rPr>
          <w:rFonts w:ascii="Verdana" w:hAnsi="Verdana"/>
          <w:sz w:val="16"/>
          <w:szCs w:val="16"/>
        </w:rPr>
        <w:t xml:space="preserve">Ordini di non proliferazione </w:t>
      </w:r>
    </w:p>
    <w:p w14:paraId="6CC0A11B" w14:textId="77777777" w:rsidR="009E186A" w:rsidRPr="009E186A" w:rsidRDefault="009E186A" w:rsidP="00151BDD">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Ordine esecutivo 13382</w:t>
      </w:r>
    </w:p>
    <w:p w14:paraId="34F171C9" w14:textId="77777777" w:rsidR="009E186A" w:rsidRPr="009E186A" w:rsidRDefault="009E186A" w:rsidP="00151BDD">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Legge sulla non proliferazione in relazione a Iran e Siria</w:t>
      </w:r>
    </w:p>
    <w:p w14:paraId="2DA6F1EE" w14:textId="77777777" w:rsidR="009E186A" w:rsidRPr="009E186A" w:rsidRDefault="009E186A" w:rsidP="00151BDD">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Ordine esecutivo 12938, modificato</w:t>
      </w:r>
    </w:p>
    <w:p w14:paraId="789BFCFE" w14:textId="77777777" w:rsidR="009E186A" w:rsidRPr="009E186A" w:rsidRDefault="009E186A" w:rsidP="00151BDD">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Leggi sulle sanzioni per il trasferimento di missili</w:t>
      </w:r>
    </w:p>
    <w:p w14:paraId="13458BB2" w14:textId="77777777" w:rsidR="009E186A" w:rsidRPr="009E186A" w:rsidRDefault="009E186A" w:rsidP="00151BDD">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Leggi sulle sanzioni per le armi chimiche e biologiche</w:t>
      </w:r>
    </w:p>
    <w:p w14:paraId="6E0CE309" w14:textId="77777777" w:rsidR="009E186A" w:rsidRPr="009E186A" w:rsidRDefault="009E186A" w:rsidP="00151BDD">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Sanzioni per il trasferimento di materiale militare letale</w:t>
      </w:r>
    </w:p>
    <w:p w14:paraId="7F6EB305" w14:textId="77777777" w:rsidR="009E186A" w:rsidRPr="009E186A" w:rsidRDefault="009E186A" w:rsidP="00151BDD">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Sanzioni per la violazione della Legge di non proliferazione in relazione a Iran, Corea del Nord e Siria (INKSNA)</w:t>
      </w:r>
    </w:p>
    <w:p w14:paraId="54D6D674" w14:textId="77777777" w:rsidR="009E186A" w:rsidRPr="009E186A" w:rsidRDefault="009E186A" w:rsidP="00151BDD">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Legge sulle sanzioni in relazioni all'Iran (ISA) e la Legge sulla riduzione della minaccia dell'Iran e sui diritti umani della Siria (TRA)</w:t>
      </w:r>
    </w:p>
    <w:p w14:paraId="50EE01EC" w14:textId="77777777" w:rsidR="009E186A" w:rsidRPr="009E186A" w:rsidRDefault="009E186A" w:rsidP="00151BDD">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CAATSA Sezione 231(d) Settori della Difesa e dell'Intelligence del Governo della Federazione russa</w:t>
      </w:r>
    </w:p>
    <w:p w14:paraId="55CC9625" w14:textId="4E014883" w:rsidR="009E186A" w:rsidRPr="009E186A" w:rsidRDefault="009E186A" w:rsidP="00151BDD">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Dipartimento di Stato</w:t>
      </w:r>
      <w:r w:rsidR="00151BDD">
        <w:rPr>
          <w:rFonts w:ascii="Verdana" w:hAnsi="Verdana"/>
          <w:sz w:val="16"/>
          <w:szCs w:val="16"/>
        </w:rPr>
        <w:t xml:space="preserve"> – </w:t>
      </w:r>
      <w:r>
        <w:rPr>
          <w:rFonts w:ascii="Verdana" w:hAnsi="Verdana"/>
          <w:sz w:val="16"/>
          <w:szCs w:val="16"/>
        </w:rPr>
        <w:t xml:space="preserve">Ordini sul controllo delle esportazioni di munizioni [DDTC] </w:t>
      </w:r>
    </w:p>
    <w:p w14:paraId="24A8FA5C" w14:textId="77777777" w:rsidR="009E186A" w:rsidRPr="009E186A" w:rsidRDefault="009E186A" w:rsidP="00151BDD">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 xml:space="preserve">Elenco sul Controllo del commercio di armi di distruzioni di massa [OFAC] </w:t>
      </w:r>
    </w:p>
    <w:p w14:paraId="01996B00" w14:textId="30A62C86" w:rsidR="009E186A" w:rsidRPr="009E186A" w:rsidRDefault="009E186A" w:rsidP="00151BDD">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Dipartimento di Stato</w:t>
      </w:r>
      <w:r w:rsidR="00151BDD">
        <w:rPr>
          <w:rFonts w:ascii="Verdana" w:hAnsi="Verdana"/>
          <w:sz w:val="16"/>
          <w:szCs w:val="16"/>
        </w:rPr>
        <w:t xml:space="preserve"> – </w:t>
      </w:r>
      <w:r>
        <w:rPr>
          <w:rFonts w:ascii="Verdana" w:hAnsi="Verdana"/>
          <w:sz w:val="16"/>
          <w:szCs w:val="16"/>
        </w:rPr>
        <w:t xml:space="preserve">Designazione di organizzazioni terroristiche </w:t>
      </w:r>
    </w:p>
    <w:p w14:paraId="75AA8EBA" w14:textId="0BBC4062" w:rsidR="009E186A" w:rsidRPr="009E186A" w:rsidRDefault="009E186A" w:rsidP="00151BDD">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Dipartimento di Stato</w:t>
      </w:r>
      <w:r w:rsidR="00151BDD">
        <w:rPr>
          <w:rFonts w:ascii="Verdana" w:hAnsi="Verdana"/>
          <w:sz w:val="16"/>
          <w:szCs w:val="16"/>
        </w:rPr>
        <w:t xml:space="preserve"> – </w:t>
      </w:r>
      <w:r>
        <w:rPr>
          <w:rFonts w:ascii="Verdana" w:hAnsi="Verdana"/>
          <w:sz w:val="16"/>
          <w:szCs w:val="16"/>
        </w:rPr>
        <w:t xml:space="preserve">Elenco di esclusione di organizzazioni terroristiche </w:t>
      </w:r>
    </w:p>
    <w:p w14:paraId="2B326A76" w14:textId="781BF86A" w:rsidR="009E186A" w:rsidRPr="009E186A" w:rsidRDefault="009E186A" w:rsidP="00151BDD">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Ministero del Tesoro degli Stati Uniti</w:t>
      </w:r>
      <w:r w:rsidR="00151BDD">
        <w:rPr>
          <w:rFonts w:ascii="Verdana" w:hAnsi="Verdana"/>
          <w:sz w:val="16"/>
          <w:szCs w:val="16"/>
        </w:rPr>
        <w:t xml:space="preserve"> – </w:t>
      </w:r>
      <w:r>
        <w:rPr>
          <w:rFonts w:ascii="Verdana" w:hAnsi="Verdana"/>
          <w:sz w:val="16"/>
          <w:szCs w:val="16"/>
        </w:rPr>
        <w:t xml:space="preserve">Elenco di membri del Consiglio legislativo palestinese [OFAC] </w:t>
      </w:r>
    </w:p>
    <w:p w14:paraId="482AFDAB" w14:textId="77777777" w:rsidR="009E186A" w:rsidRPr="009E186A" w:rsidRDefault="009E186A" w:rsidP="00151BDD">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 xml:space="preserve">Ordini del Registro generale federale degli Stati Uniti </w:t>
      </w:r>
    </w:p>
    <w:p w14:paraId="345269EE" w14:textId="77777777" w:rsidR="009E186A" w:rsidRPr="009E186A" w:rsidRDefault="009E186A" w:rsidP="00151BDD">
      <w:pPr>
        <w:spacing w:before="0" w:line="240" w:lineRule="auto"/>
        <w:rPr>
          <w:rFonts w:ascii="Verdana" w:hAnsi="Verdana"/>
          <w:sz w:val="16"/>
          <w:szCs w:val="16"/>
        </w:rPr>
      </w:pPr>
      <w:r>
        <w:rPr>
          <w:rFonts w:ascii="Verdana" w:hAnsi="Verdana"/>
          <w:b/>
          <w:bCs/>
          <w:i/>
          <w:iCs/>
          <w:color w:val="000066"/>
          <w:sz w:val="16"/>
          <w:szCs w:val="16"/>
        </w:rPr>
        <w:t>Elenchi di persone bloccate correlate a programmi sanzionatori</w:t>
      </w:r>
    </w:p>
    <w:p w14:paraId="58B69D03" w14:textId="3ACFA366" w:rsidR="009E186A" w:rsidRPr="009E186A" w:rsidRDefault="009E186A" w:rsidP="00151BDD">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Ministero del Tesoro degli Stati Uniti</w:t>
      </w:r>
      <w:r w:rsidR="00151BDD">
        <w:rPr>
          <w:rFonts w:ascii="Verdana" w:hAnsi="Verdana"/>
          <w:sz w:val="16"/>
          <w:szCs w:val="16"/>
        </w:rPr>
        <w:t xml:space="preserve"> – </w:t>
      </w:r>
      <w:r>
        <w:rPr>
          <w:rFonts w:ascii="Verdana" w:hAnsi="Verdana"/>
          <w:sz w:val="16"/>
          <w:szCs w:val="16"/>
        </w:rPr>
        <w:t xml:space="preserve">Residenti designati e persone bloccate, comprese Cuba e navi mercantili, Iran, Iraq e navi mercantili, navi bloccate del Sudan [OFAC] </w:t>
      </w:r>
    </w:p>
    <w:p w14:paraId="70B255DA" w14:textId="35A9652F" w:rsidR="009E186A" w:rsidRPr="009E186A" w:rsidRDefault="009E186A" w:rsidP="00151BDD">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Ministero del Tesoro</w:t>
      </w:r>
      <w:r w:rsidR="00151BDD">
        <w:rPr>
          <w:rFonts w:ascii="Verdana" w:hAnsi="Verdana"/>
          <w:sz w:val="16"/>
          <w:szCs w:val="16"/>
        </w:rPr>
        <w:t xml:space="preserve"> – </w:t>
      </w:r>
      <w:r>
        <w:rPr>
          <w:rFonts w:ascii="Verdana" w:hAnsi="Verdana"/>
          <w:sz w:val="16"/>
          <w:szCs w:val="16"/>
        </w:rPr>
        <w:t xml:space="preserve">Organizzazioni terroristiche e terroristi </w:t>
      </w:r>
    </w:p>
    <w:p w14:paraId="04947D44" w14:textId="7220A02F" w:rsidR="009E186A" w:rsidRPr="009E186A" w:rsidRDefault="009E186A" w:rsidP="00151BDD">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Ministero del Tesoro</w:t>
      </w:r>
      <w:r w:rsidR="00151BDD">
        <w:rPr>
          <w:rFonts w:ascii="Verdana" w:hAnsi="Verdana"/>
          <w:sz w:val="16"/>
          <w:szCs w:val="16"/>
        </w:rPr>
        <w:t xml:space="preserve"> – </w:t>
      </w:r>
      <w:r>
        <w:rPr>
          <w:rFonts w:ascii="Verdana" w:hAnsi="Verdana"/>
          <w:sz w:val="16"/>
          <w:szCs w:val="16"/>
        </w:rPr>
        <w:t xml:space="preserve">Narcotrafficanti designati e signori dei narcotici </w:t>
      </w:r>
    </w:p>
    <w:p w14:paraId="4F9650ED" w14:textId="7D406EA4" w:rsidR="009E186A" w:rsidRPr="009E186A" w:rsidRDefault="009E186A" w:rsidP="00151BDD">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Ministero del Tesoro</w:t>
      </w:r>
      <w:r w:rsidR="00151BDD">
        <w:rPr>
          <w:rFonts w:ascii="Verdana" w:hAnsi="Verdana"/>
          <w:sz w:val="16"/>
          <w:szCs w:val="16"/>
        </w:rPr>
        <w:t xml:space="preserve"> – </w:t>
      </w:r>
      <w:r>
        <w:rPr>
          <w:rFonts w:ascii="Verdana" w:hAnsi="Verdana"/>
          <w:sz w:val="16"/>
          <w:szCs w:val="16"/>
        </w:rPr>
        <w:t xml:space="preserve">Signori dei narcotici stranieri </w:t>
      </w:r>
    </w:p>
    <w:p w14:paraId="54AB68EA" w14:textId="0752A544" w:rsidR="009E186A" w:rsidRPr="009E186A" w:rsidRDefault="009E186A" w:rsidP="00151BDD">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Ministero del Tesoro</w:t>
      </w:r>
      <w:r w:rsidR="00151BDD">
        <w:rPr>
          <w:rFonts w:ascii="Verdana" w:hAnsi="Verdana"/>
          <w:sz w:val="16"/>
          <w:szCs w:val="16"/>
        </w:rPr>
        <w:t xml:space="preserve"> – </w:t>
      </w:r>
      <w:r>
        <w:rPr>
          <w:rFonts w:ascii="Verdana" w:hAnsi="Verdana"/>
          <w:sz w:val="16"/>
          <w:szCs w:val="16"/>
        </w:rPr>
        <w:t xml:space="preserve">Sanzioni correlate ad attività notevolmente malevole alimentate dal ciberspazio </w:t>
      </w:r>
    </w:p>
    <w:p w14:paraId="4EE4CA86" w14:textId="77777777" w:rsidR="009E186A" w:rsidRPr="009E186A" w:rsidRDefault="009E186A" w:rsidP="00151BDD">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Elenco di Istituti finanziari esteri soggetti alla Parte 561 </w:t>
      </w:r>
    </w:p>
    <w:p w14:paraId="3A3A57A3" w14:textId="362AC04F" w:rsidR="009E186A" w:rsidRPr="009E186A" w:rsidRDefault="009E186A" w:rsidP="00151BDD">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Ministero del Tesoro degli Stati Uniti</w:t>
      </w:r>
      <w:r w:rsidR="00151BDD">
        <w:rPr>
          <w:rFonts w:ascii="Verdana" w:hAnsi="Verdana"/>
          <w:sz w:val="16"/>
          <w:szCs w:val="16"/>
        </w:rPr>
        <w:t xml:space="preserve"> – </w:t>
      </w:r>
      <w:r>
        <w:rPr>
          <w:rFonts w:ascii="Verdana" w:hAnsi="Verdana"/>
          <w:sz w:val="16"/>
          <w:szCs w:val="16"/>
        </w:rPr>
        <w:t xml:space="preserve">Elenco degli evasori esteri di sanzioni (FSE-IR, FSE-SY) [OFAC] </w:t>
      </w:r>
    </w:p>
    <w:p w14:paraId="6B40E3B3" w14:textId="7117B781" w:rsidR="009E186A" w:rsidRPr="009E186A" w:rsidRDefault="009E186A" w:rsidP="00151BDD">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Ministero del Tesoro degli Stati Uniti</w:t>
      </w:r>
      <w:r w:rsidR="00151BDD">
        <w:rPr>
          <w:rFonts w:ascii="Verdana" w:hAnsi="Verdana"/>
          <w:sz w:val="16"/>
          <w:szCs w:val="16"/>
        </w:rPr>
        <w:t xml:space="preserve"> – </w:t>
      </w:r>
      <w:r>
        <w:rPr>
          <w:rFonts w:ascii="Verdana" w:hAnsi="Verdana"/>
          <w:sz w:val="16"/>
          <w:szCs w:val="16"/>
        </w:rPr>
        <w:t xml:space="preserve">Elenco delle persone identificate per le sanzioni settoriali (UKRAINE-EO13622) [OFAC] </w:t>
      </w:r>
    </w:p>
    <w:p w14:paraId="336C41EA" w14:textId="18F51033" w:rsidR="009E186A" w:rsidRPr="009E186A" w:rsidRDefault="009E186A" w:rsidP="00151BDD">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Ministero del Tesoro degli Stati Uniti</w:t>
      </w:r>
      <w:r w:rsidR="00151BDD">
        <w:rPr>
          <w:rFonts w:ascii="Verdana" w:hAnsi="Verdana"/>
          <w:sz w:val="16"/>
          <w:szCs w:val="16"/>
        </w:rPr>
        <w:t xml:space="preserve"> – </w:t>
      </w:r>
      <w:r>
        <w:rPr>
          <w:rFonts w:ascii="Verdana" w:hAnsi="Verdana"/>
          <w:sz w:val="16"/>
          <w:szCs w:val="16"/>
        </w:rPr>
        <w:t xml:space="preserve">Elenco di persone identificate come bloccate in virtù dell'Ordine esecutivo 13599 [OFAC] </w:t>
      </w:r>
    </w:p>
    <w:p w14:paraId="5B297976" w14:textId="77777777" w:rsidR="009E186A" w:rsidRPr="009E186A" w:rsidRDefault="009E186A" w:rsidP="00151BDD">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Elenco consolidato delle Nazioni Unite </w:t>
      </w:r>
    </w:p>
    <w:p w14:paraId="61257A55" w14:textId="77777777" w:rsidR="009E186A" w:rsidRPr="003550FB" w:rsidRDefault="009E186A" w:rsidP="00151BDD">
      <w:pPr>
        <w:numPr>
          <w:ilvl w:val="1"/>
          <w:numId w:val="14"/>
        </w:numPr>
        <w:spacing w:before="100" w:beforeAutospacing="1" w:after="100" w:afterAutospacing="1" w:line="240" w:lineRule="auto"/>
        <w:rPr>
          <w:rFonts w:ascii="Verdana" w:hAnsi="Verdana"/>
          <w:spacing w:val="-2"/>
          <w:sz w:val="16"/>
          <w:szCs w:val="16"/>
        </w:rPr>
      </w:pPr>
      <w:r w:rsidRPr="003550FB">
        <w:rPr>
          <w:rFonts w:ascii="Verdana" w:hAnsi="Verdana"/>
          <w:spacing w:val="-2"/>
          <w:sz w:val="16"/>
          <w:szCs w:val="16"/>
        </w:rPr>
        <w:t xml:space="preserve">Provvedimenti sanzionatori delle Nazioni Unite (congelamento dei beni, divieto di viaggiare o embargo sulle armi) imposto dal Consiglio di sicurezza su persone ed entità a norma delle Risoluzioni del Consiglio di sicurezza n. 751 (1992) e n. 1907 (2009) riguardanti Somalia ed Eritrea, n. 1267 (1999) e n. 1989 (2011) riguardanti Al-Qaida e le persone e le entità associate al movimento, n. 1518 (2003), n. 1521 (2003) riguardanti la Liberia, n. 1533 (2004) riguardante la Repubblica democratica del Congo, n. 1572 (2004) riguardante la Costa d'Avorio, n. 1591 (2005) riguardante il Sudan, n. 1718 (2006), n. 1737 (2006), n. 1970 (2011) riguardanti la Libia e n. 1988 (2011) e n. 2048 (2012) riguardante la Guinea-Bissau. </w:t>
      </w:r>
    </w:p>
    <w:p w14:paraId="75D3003E" w14:textId="77777777" w:rsidR="009E186A" w:rsidRPr="009E186A" w:rsidRDefault="009E186A" w:rsidP="00151BDD">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Navi con divieto di attracco dell'ONU </w:t>
      </w:r>
    </w:p>
    <w:p w14:paraId="3ABD43E8" w14:textId="77777777" w:rsidR="009E186A" w:rsidRPr="009E186A" w:rsidRDefault="009E186A" w:rsidP="00151BDD">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Navi OMM sulla lista nera dell'Allegato III della risoluzione dell'ONU n. 2270 (2016) </w:t>
      </w:r>
    </w:p>
    <w:p w14:paraId="09E2FF04" w14:textId="77777777" w:rsidR="009E186A" w:rsidRPr="009E186A" w:rsidRDefault="009E186A" w:rsidP="00151BDD">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Navi designate dall'ONU in virtù delle risoluzioni n. 1718 e n. 2270 </w:t>
      </w:r>
    </w:p>
    <w:p w14:paraId="645DE6DC" w14:textId="0D351B68" w:rsidR="009E186A" w:rsidRPr="009E186A" w:rsidRDefault="009E186A" w:rsidP="00151BDD">
      <w:pPr>
        <w:spacing w:before="0" w:line="240" w:lineRule="auto"/>
        <w:rPr>
          <w:rFonts w:ascii="Verdana" w:hAnsi="Verdana"/>
          <w:sz w:val="16"/>
          <w:szCs w:val="16"/>
        </w:rPr>
      </w:pPr>
      <w:r>
        <w:rPr>
          <w:rFonts w:ascii="Verdana" w:hAnsi="Verdana"/>
          <w:b/>
          <w:bCs/>
          <w:i/>
          <w:iCs/>
          <w:color w:val="000066"/>
          <w:sz w:val="16"/>
          <w:szCs w:val="16"/>
        </w:rPr>
        <w:t>Amministrazione dei servizi generali</w:t>
      </w:r>
      <w:r>
        <w:rPr>
          <w:rFonts w:ascii="Verdana" w:hAnsi="Verdana"/>
          <w:sz w:val="16"/>
          <w:szCs w:val="16"/>
        </w:rPr>
        <w:t> </w:t>
      </w:r>
      <w:hyperlink r:id="rId7" w:history="1">
        <w:r>
          <w:rPr>
            <w:rFonts w:ascii="Verdana" w:hAnsi="Verdana"/>
            <w:color w:val="05058C"/>
            <w:sz w:val="14"/>
            <w:szCs w:val="14"/>
          </w:rPr>
          <w:t>Agenzia federale per l'amministrazione dei servizi generali e Codici cause e trattamenti</w:t>
        </w:r>
      </w:hyperlink>
    </w:p>
    <w:p w14:paraId="016E7EC9" w14:textId="6CC01444" w:rsidR="009E186A" w:rsidRPr="009E186A" w:rsidRDefault="009E186A" w:rsidP="00151BDD">
      <w:pPr>
        <w:numPr>
          <w:ilvl w:val="0"/>
          <w:numId w:val="15"/>
        </w:numPr>
        <w:spacing w:before="100" w:beforeAutospacing="1" w:after="100" w:afterAutospacing="1" w:line="240" w:lineRule="auto"/>
        <w:rPr>
          <w:rFonts w:ascii="Verdana" w:hAnsi="Verdana"/>
          <w:sz w:val="16"/>
          <w:szCs w:val="16"/>
        </w:rPr>
      </w:pPr>
      <w:r>
        <w:rPr>
          <w:rFonts w:ascii="Verdana" w:hAnsi="Verdana"/>
          <w:sz w:val="16"/>
          <w:szCs w:val="16"/>
        </w:rPr>
        <w:t>Amministrazione generale dei servizi degli Stati Uniti</w:t>
      </w:r>
      <w:r w:rsidR="00151BDD">
        <w:rPr>
          <w:rFonts w:ascii="Verdana" w:hAnsi="Verdana"/>
          <w:sz w:val="16"/>
          <w:szCs w:val="16"/>
        </w:rPr>
        <w:t xml:space="preserve"> – </w:t>
      </w:r>
      <w:r>
        <w:rPr>
          <w:rFonts w:ascii="Verdana" w:hAnsi="Verdana"/>
          <w:sz w:val="16"/>
          <w:szCs w:val="16"/>
        </w:rPr>
        <w:t xml:space="preserve">Elenco delle parti escluse dai programmi di appalto federali [SAM/EPLS] </w:t>
      </w:r>
    </w:p>
    <w:p w14:paraId="070297F9" w14:textId="7CC94E11" w:rsidR="009E186A" w:rsidRPr="009E186A" w:rsidRDefault="009E186A" w:rsidP="00151BDD">
      <w:pPr>
        <w:numPr>
          <w:ilvl w:val="0"/>
          <w:numId w:val="15"/>
        </w:numPr>
        <w:spacing w:before="100" w:beforeAutospacing="1" w:after="100" w:afterAutospacing="1" w:line="240" w:lineRule="auto"/>
        <w:rPr>
          <w:rFonts w:ascii="Verdana" w:hAnsi="Verdana"/>
          <w:sz w:val="16"/>
          <w:szCs w:val="16"/>
        </w:rPr>
      </w:pPr>
      <w:r>
        <w:rPr>
          <w:rFonts w:ascii="Verdana" w:hAnsi="Verdana"/>
          <w:sz w:val="16"/>
          <w:szCs w:val="16"/>
        </w:rPr>
        <w:t>Amministrazione generale dei servizi degli Stati Uniti</w:t>
      </w:r>
      <w:r w:rsidR="00151BDD">
        <w:rPr>
          <w:rFonts w:ascii="Verdana" w:hAnsi="Verdana"/>
          <w:sz w:val="16"/>
          <w:szCs w:val="16"/>
        </w:rPr>
        <w:t xml:space="preserve"> – </w:t>
      </w:r>
      <w:r>
        <w:rPr>
          <w:rFonts w:ascii="Verdana" w:hAnsi="Verdana"/>
          <w:sz w:val="16"/>
          <w:szCs w:val="16"/>
        </w:rPr>
        <w:t xml:space="preserve">Elenco delle parti escluse dai programmi di non appalto federali [SAM/EPLS] </w:t>
      </w:r>
    </w:p>
    <w:p w14:paraId="098CF2B8" w14:textId="0AC88292" w:rsidR="009E186A" w:rsidRPr="009E186A" w:rsidRDefault="009E186A" w:rsidP="00151BDD">
      <w:pPr>
        <w:numPr>
          <w:ilvl w:val="0"/>
          <w:numId w:val="15"/>
        </w:numPr>
        <w:spacing w:before="100" w:beforeAutospacing="1" w:after="100" w:afterAutospacing="1" w:line="240" w:lineRule="auto"/>
        <w:rPr>
          <w:rFonts w:ascii="Verdana" w:hAnsi="Verdana"/>
          <w:sz w:val="16"/>
          <w:szCs w:val="16"/>
        </w:rPr>
      </w:pPr>
      <w:r>
        <w:rPr>
          <w:rFonts w:ascii="Verdana" w:hAnsi="Verdana"/>
          <w:sz w:val="16"/>
          <w:szCs w:val="16"/>
        </w:rPr>
        <w:t>Amministrazione generale dei servizi degli Stati Uniti</w:t>
      </w:r>
      <w:r w:rsidR="00151BDD">
        <w:rPr>
          <w:rFonts w:ascii="Verdana" w:hAnsi="Verdana"/>
          <w:sz w:val="16"/>
          <w:szCs w:val="16"/>
        </w:rPr>
        <w:t xml:space="preserve"> – </w:t>
      </w:r>
      <w:r>
        <w:rPr>
          <w:rFonts w:ascii="Verdana" w:hAnsi="Verdana"/>
          <w:sz w:val="16"/>
          <w:szCs w:val="16"/>
        </w:rPr>
        <w:t xml:space="preserve">Elenco delle parti escluse dai programmi federali non di appalto [SAM/EPLS] </w:t>
      </w:r>
    </w:p>
    <w:p w14:paraId="7F4831DA" w14:textId="77777777" w:rsidR="009E186A" w:rsidRPr="009E186A" w:rsidRDefault="009E186A" w:rsidP="00151BDD">
      <w:pPr>
        <w:pageBreakBefore/>
        <w:spacing w:before="0" w:line="240" w:lineRule="auto"/>
        <w:rPr>
          <w:rFonts w:ascii="Verdana" w:hAnsi="Verdana"/>
          <w:sz w:val="16"/>
          <w:szCs w:val="16"/>
        </w:rPr>
      </w:pPr>
      <w:r>
        <w:rPr>
          <w:rFonts w:ascii="Verdana" w:hAnsi="Verdana"/>
          <w:b/>
          <w:bCs/>
          <w:i/>
          <w:iCs/>
          <w:color w:val="000066"/>
          <w:sz w:val="16"/>
          <w:szCs w:val="16"/>
        </w:rPr>
        <w:lastRenderedPageBreak/>
        <w:t>Elenchi di persone ricercate correlate alle attività di contrasto</w:t>
      </w:r>
    </w:p>
    <w:p w14:paraId="0FAD78D0" w14:textId="16021046" w:rsidR="009E186A" w:rsidRPr="009E186A" w:rsidRDefault="009E186A" w:rsidP="00151BDD">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Ufficio delle Forze aeree per le Investigazioni speciali</w:t>
      </w:r>
      <w:r w:rsidR="00151BDD">
        <w:rPr>
          <w:rFonts w:ascii="Verdana" w:hAnsi="Verdana"/>
          <w:sz w:val="16"/>
          <w:szCs w:val="16"/>
        </w:rPr>
        <w:t xml:space="preserve"> – </w:t>
      </w:r>
      <w:r>
        <w:rPr>
          <w:rFonts w:ascii="Verdana" w:hAnsi="Verdana"/>
          <w:sz w:val="16"/>
          <w:szCs w:val="16"/>
        </w:rPr>
        <w:t xml:space="preserve">I dieci latitanti più importanti </w:t>
      </w:r>
    </w:p>
    <w:p w14:paraId="0D0081FB" w14:textId="77777777" w:rsidR="009E186A" w:rsidRPr="009E186A" w:rsidRDefault="009E186A" w:rsidP="00151BDD">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Si concentra su quattro priorità: sfruttare le attività di controspionaggio per la protezione delle forze; risolvere i reati violenti che riguardano le Forze aeree; combattere le minacce ai sistemi d'informazione e alle tecnologie delle Forze aeree; e sconfiggere e scoraggiare le "frodi all'acquisto". </w:t>
      </w:r>
    </w:p>
    <w:p w14:paraId="6787396C" w14:textId="77777777" w:rsidR="009E186A" w:rsidRPr="009E186A" w:rsidRDefault="009E186A" w:rsidP="00151BDD">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Ufficio dei principali ricercarti in relazione ad alcool, tabacco, armi da fuoco ed esplosivi </w:t>
      </w:r>
    </w:p>
    <w:p w14:paraId="49B2C9C3" w14:textId="77777777" w:rsidR="009E186A" w:rsidRPr="009E186A" w:rsidRDefault="009E186A" w:rsidP="00151BDD">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Applica le leggi e i regolamenti federali degli Stati Uniti relativi ad alcool, prodotti a base di tabacco, armi da fuoco, esplosivi e incendi dolosi. </w:t>
      </w:r>
    </w:p>
    <w:p w14:paraId="6AF31C66" w14:textId="242FD32B" w:rsidR="009E186A" w:rsidRPr="009E186A" w:rsidRDefault="009E186A" w:rsidP="00151BDD">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FBI</w:t>
      </w:r>
      <w:r w:rsidR="00151BDD">
        <w:rPr>
          <w:rFonts w:ascii="Verdana" w:hAnsi="Verdana"/>
          <w:sz w:val="16"/>
          <w:szCs w:val="16"/>
        </w:rPr>
        <w:t xml:space="preserve"> – </w:t>
      </w:r>
      <w:r>
        <w:rPr>
          <w:rFonts w:ascii="Verdana" w:hAnsi="Verdana"/>
          <w:sz w:val="16"/>
          <w:szCs w:val="16"/>
        </w:rPr>
        <w:t xml:space="preserve">I dieci latitanti più ricercati </w:t>
      </w:r>
    </w:p>
    <w:p w14:paraId="0B9557BD" w14:textId="77777777" w:rsidR="009E186A" w:rsidRPr="009E186A" w:rsidRDefault="009E186A" w:rsidP="00151BDD">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Le funzioni investigative rientrano nelle categorie di interessi delle parti, diritti civili, antiterrorismo, controspionaggio straniero, criminalità organizzata/droghe, reati violenti e criminali principali, e reati finanziari. </w:t>
      </w:r>
    </w:p>
    <w:p w14:paraId="7B53A9AD" w14:textId="6E5DC6AC" w:rsidR="009E186A" w:rsidRPr="009E186A" w:rsidRDefault="009E186A" w:rsidP="00151BDD">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FBI</w:t>
      </w:r>
      <w:r w:rsidR="00151BDD">
        <w:rPr>
          <w:rFonts w:ascii="Verdana" w:hAnsi="Verdana"/>
          <w:sz w:val="16"/>
          <w:szCs w:val="16"/>
        </w:rPr>
        <w:t xml:space="preserve"> – </w:t>
      </w:r>
      <w:r>
        <w:rPr>
          <w:rFonts w:ascii="Verdana" w:hAnsi="Verdana"/>
          <w:sz w:val="16"/>
          <w:szCs w:val="16"/>
        </w:rPr>
        <w:t xml:space="preserve">Terroristi più ricercati </w:t>
      </w:r>
    </w:p>
    <w:p w14:paraId="53A13EA5" w14:textId="77777777" w:rsidR="009E186A" w:rsidRPr="009E186A" w:rsidRDefault="009E186A" w:rsidP="00151BDD">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Elenchi di presunti terroristi che sono stati condannati da Commissioni federali in varie giurisdizioni negli Stati Uniti per i reati riportati nei loro manifesti sui soggetti ricercati. </w:t>
      </w:r>
    </w:p>
    <w:p w14:paraId="6BED0FE3" w14:textId="5616799E" w:rsidR="009E186A" w:rsidRPr="009E186A" w:rsidRDefault="009E186A" w:rsidP="00151BDD">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FBI</w:t>
      </w:r>
      <w:r w:rsidR="00151BDD">
        <w:rPr>
          <w:rFonts w:ascii="Verdana" w:hAnsi="Verdana"/>
          <w:sz w:val="16"/>
          <w:szCs w:val="16"/>
        </w:rPr>
        <w:t xml:space="preserve"> – </w:t>
      </w:r>
      <w:r>
        <w:rPr>
          <w:rFonts w:ascii="Verdana" w:hAnsi="Verdana"/>
          <w:sz w:val="16"/>
          <w:szCs w:val="16"/>
        </w:rPr>
        <w:t xml:space="preserve">Latitanti ricercati </w:t>
      </w:r>
    </w:p>
    <w:p w14:paraId="00877067" w14:textId="5B338CC0" w:rsidR="009E186A" w:rsidRPr="009E186A" w:rsidRDefault="009E186A" w:rsidP="00151BDD">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FBI</w:t>
      </w:r>
      <w:r w:rsidR="00151BDD">
        <w:rPr>
          <w:rFonts w:ascii="Verdana" w:hAnsi="Verdana"/>
          <w:sz w:val="16"/>
          <w:szCs w:val="16"/>
        </w:rPr>
        <w:t xml:space="preserve"> – </w:t>
      </w:r>
      <w:r>
        <w:rPr>
          <w:rFonts w:ascii="Verdana" w:hAnsi="Verdana"/>
          <w:sz w:val="16"/>
          <w:szCs w:val="16"/>
        </w:rPr>
        <w:t xml:space="preserve">Rapimenti e persone scomparse </w:t>
      </w:r>
    </w:p>
    <w:p w14:paraId="66EFD956" w14:textId="477161D8" w:rsidR="009E186A" w:rsidRPr="009E186A" w:rsidRDefault="009E186A" w:rsidP="00151BDD">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FBI</w:t>
      </w:r>
      <w:r w:rsidR="00151BDD">
        <w:rPr>
          <w:rFonts w:ascii="Verdana" w:hAnsi="Verdana"/>
          <w:sz w:val="16"/>
          <w:szCs w:val="16"/>
        </w:rPr>
        <w:t xml:space="preserve"> – </w:t>
      </w:r>
      <w:r>
        <w:rPr>
          <w:rFonts w:ascii="Verdana" w:hAnsi="Verdana"/>
          <w:sz w:val="16"/>
          <w:szCs w:val="16"/>
        </w:rPr>
        <w:t xml:space="preserve">Ricerca di informazioni </w:t>
      </w:r>
    </w:p>
    <w:p w14:paraId="1A71A1BF" w14:textId="77777777" w:rsidR="009E186A" w:rsidRPr="009E186A" w:rsidRDefault="009E186A" w:rsidP="00151BDD">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Food and Drug Administration – Inquirenti clinici </w:t>
      </w:r>
    </w:p>
    <w:p w14:paraId="1456D1BD" w14:textId="77777777" w:rsidR="009E186A" w:rsidRPr="009E186A" w:rsidRDefault="009E186A" w:rsidP="00151BDD">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Food and Drug Administration – Interdetti e soggetti a restrizioni </w:t>
      </w:r>
    </w:p>
    <w:p w14:paraId="61B8FFB9" w14:textId="77777777" w:rsidR="009E186A" w:rsidRPr="009E186A" w:rsidRDefault="009E186A" w:rsidP="00151BDD">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Food and Drug Administration – Elenco di interdetti </w:t>
      </w:r>
    </w:p>
    <w:p w14:paraId="113741AA" w14:textId="77777777" w:rsidR="009E186A" w:rsidRPr="009E186A" w:rsidRDefault="009E186A" w:rsidP="00151BDD">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Persone che sono state soggette a varie restrizioni dall'Agenzia per gli alimenti e i medicinali (FDA) per negligenza scientifica. </w:t>
      </w:r>
    </w:p>
    <w:p w14:paraId="0FDEC7FD" w14:textId="33604BE0" w:rsidR="009E186A" w:rsidRPr="009E186A" w:rsidRDefault="009E186A" w:rsidP="00151BDD">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Ministero degli Interni</w:t>
      </w:r>
      <w:r w:rsidR="00151BDD">
        <w:rPr>
          <w:rFonts w:ascii="Verdana" w:hAnsi="Verdana"/>
          <w:sz w:val="16"/>
          <w:szCs w:val="16"/>
        </w:rPr>
        <w:t xml:space="preserve"> – </w:t>
      </w:r>
      <w:r>
        <w:rPr>
          <w:rFonts w:ascii="Verdana" w:hAnsi="Verdana"/>
          <w:sz w:val="16"/>
          <w:szCs w:val="16"/>
        </w:rPr>
        <w:t>Indagini sulla sicurezza</w:t>
      </w:r>
      <w:r w:rsidR="00151BDD">
        <w:rPr>
          <w:rFonts w:ascii="Verdana" w:hAnsi="Verdana"/>
          <w:sz w:val="16"/>
          <w:szCs w:val="16"/>
        </w:rPr>
        <w:t xml:space="preserve"> – </w:t>
      </w:r>
      <w:r>
        <w:rPr>
          <w:rFonts w:ascii="Verdana" w:hAnsi="Verdana"/>
          <w:sz w:val="16"/>
          <w:szCs w:val="16"/>
        </w:rPr>
        <w:t xml:space="preserve">Persone più ricercate </w:t>
      </w:r>
    </w:p>
    <w:p w14:paraId="70AAF559" w14:textId="77777777" w:rsidR="009E186A" w:rsidRPr="009E186A" w:rsidRDefault="009E186A" w:rsidP="00151BDD">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Terrorismo, traffico di stupefacenti, riciclaggio di denaro sporco, tratta/traffico di esseri umani, violazione delle importazioni/esportazioni, pornografia/sfruttamento infantile, frodi relative ai documenti d'identità e all'ottenimento di prestazioni, reati legati a bande, violazioni dei diritti di proprietà intellettuale, attività di contrasto delle violazioni sui luoghi di lavoro. </w:t>
      </w:r>
    </w:p>
    <w:p w14:paraId="69933943" w14:textId="42A567F4" w:rsidR="009E186A" w:rsidRPr="009E186A" w:rsidRDefault="009E186A" w:rsidP="00151BDD">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Servizio investigativo penale navale</w:t>
      </w:r>
      <w:r w:rsidR="00151BDD">
        <w:rPr>
          <w:rFonts w:ascii="Verdana" w:hAnsi="Verdana"/>
          <w:sz w:val="16"/>
          <w:szCs w:val="16"/>
        </w:rPr>
        <w:t xml:space="preserve"> – </w:t>
      </w:r>
      <w:r>
        <w:rPr>
          <w:rFonts w:ascii="Verdana" w:hAnsi="Verdana"/>
          <w:sz w:val="16"/>
          <w:szCs w:val="16"/>
        </w:rPr>
        <w:t xml:space="preserve">Latitanti ricercati </w:t>
      </w:r>
    </w:p>
    <w:p w14:paraId="5008A8C3" w14:textId="77777777" w:rsidR="009E186A" w:rsidRPr="009E186A" w:rsidRDefault="009E186A" w:rsidP="00151BDD">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Conduce indagini su reati penali e controspionaggio per il Dipartimento della Marina e gestisce programmi di sicurezza della Marina militare. </w:t>
      </w:r>
    </w:p>
    <w:p w14:paraId="773F307B" w14:textId="62C087E7" w:rsidR="009E186A" w:rsidRPr="009E186A" w:rsidRDefault="009E186A" w:rsidP="00151BDD">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Immigrazione e Dogana degli Stati Uniti</w:t>
      </w:r>
      <w:r w:rsidR="00151BDD">
        <w:rPr>
          <w:rFonts w:ascii="Verdana" w:hAnsi="Verdana"/>
          <w:sz w:val="16"/>
          <w:szCs w:val="16"/>
        </w:rPr>
        <w:t xml:space="preserve"> – </w:t>
      </w:r>
      <w:r>
        <w:rPr>
          <w:rFonts w:ascii="Verdana" w:hAnsi="Verdana"/>
          <w:sz w:val="16"/>
          <w:szCs w:val="16"/>
        </w:rPr>
        <w:t>Operazioni di contrasto ed eliminazione</w:t>
      </w:r>
      <w:r w:rsidR="00151BDD">
        <w:rPr>
          <w:rFonts w:ascii="Verdana" w:hAnsi="Verdana"/>
          <w:sz w:val="16"/>
          <w:szCs w:val="16"/>
        </w:rPr>
        <w:t xml:space="preserve"> – </w:t>
      </w:r>
      <w:r>
        <w:rPr>
          <w:rFonts w:ascii="Verdana" w:hAnsi="Verdana"/>
          <w:sz w:val="16"/>
          <w:szCs w:val="16"/>
        </w:rPr>
        <w:t xml:space="preserve">I più ricercati </w:t>
      </w:r>
    </w:p>
    <w:p w14:paraId="4E33D140" w14:textId="77777777" w:rsidR="009E186A" w:rsidRPr="009E186A" w:rsidRDefault="009E186A" w:rsidP="00151BDD">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Attività di contrasto in materia di immigrazione e dogana (ICE) degli Stati Uniti applica le leggi federali che disciplinano il controllo delle frontiere, la dogana, il commercio e l'immigrazione per promuovere la sicurezza del paese e la sicurezza pubblica. </w:t>
      </w:r>
    </w:p>
    <w:p w14:paraId="34EF53C0" w14:textId="71C3C626" w:rsidR="009E186A" w:rsidRPr="009E186A" w:rsidRDefault="009E186A" w:rsidP="00151BDD">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Agenzia federale antidroga (DEA) degli Stati Uniti</w:t>
      </w:r>
      <w:r w:rsidR="00151BDD">
        <w:rPr>
          <w:rFonts w:ascii="Verdana" w:hAnsi="Verdana"/>
          <w:sz w:val="16"/>
          <w:szCs w:val="16"/>
        </w:rPr>
        <w:t xml:space="preserve"> – </w:t>
      </w:r>
      <w:r>
        <w:rPr>
          <w:rFonts w:ascii="Verdana" w:hAnsi="Verdana"/>
          <w:sz w:val="16"/>
          <w:szCs w:val="16"/>
        </w:rPr>
        <w:t xml:space="preserve">Principali latitanti internazionali </w:t>
      </w:r>
    </w:p>
    <w:p w14:paraId="5C6CBBDF" w14:textId="77777777" w:rsidR="009E186A" w:rsidRPr="009E186A" w:rsidRDefault="009E186A" w:rsidP="00151BDD">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Applica le leggi e i regolamenti sulle sostanze controllate degli Stati Uniti e consegna al sistema giudiziario penale e civile degli Stati Uniti le entità e le persone coinvolte nella coltivazione, produzione o distribuzione di sostanze controllate oggetto del traffico illecito o destinate ad esso. </w:t>
      </w:r>
    </w:p>
    <w:p w14:paraId="52705305" w14:textId="4A230156" w:rsidR="009E186A" w:rsidRPr="009E186A" w:rsidRDefault="009E186A" w:rsidP="00151BDD">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Marshals Service degli Stati Uniti</w:t>
      </w:r>
      <w:r w:rsidR="00151BDD">
        <w:rPr>
          <w:rFonts w:ascii="Verdana" w:hAnsi="Verdana"/>
          <w:sz w:val="16"/>
          <w:szCs w:val="16"/>
        </w:rPr>
        <w:t xml:space="preserve"> – </w:t>
      </w:r>
      <w:r>
        <w:rPr>
          <w:rFonts w:ascii="Verdana" w:hAnsi="Verdana"/>
          <w:sz w:val="16"/>
          <w:szCs w:val="16"/>
        </w:rPr>
        <w:t xml:space="preserve">Le 15 persone più ricercate </w:t>
      </w:r>
    </w:p>
    <w:p w14:paraId="3A2DCE11" w14:textId="304267F3" w:rsidR="009E186A" w:rsidRPr="009E186A" w:rsidRDefault="009E186A" w:rsidP="00151BDD">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Marshals Service degli Stati Uniti </w:t>
      </w:r>
      <w:r w:rsidR="00151BDD">
        <w:rPr>
          <w:rFonts w:ascii="Verdana" w:hAnsi="Verdana"/>
          <w:sz w:val="16"/>
          <w:szCs w:val="16"/>
        </w:rPr>
        <w:t>–</w:t>
      </w:r>
      <w:r>
        <w:rPr>
          <w:rFonts w:ascii="Verdana" w:hAnsi="Verdana"/>
          <w:sz w:val="16"/>
          <w:szCs w:val="16"/>
        </w:rPr>
        <w:t xml:space="preserve"> Principali casi di latitanza </w:t>
      </w:r>
    </w:p>
    <w:p w14:paraId="0A47478F" w14:textId="77777777" w:rsidR="009E186A" w:rsidRPr="009E186A" w:rsidRDefault="009E186A" w:rsidP="00151BDD">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Coinvolto nella maggior parte delle iniziative di applicazione delle leggi federali. I principali casi e Le 15 persone più ricercate del Marshals Service negli Stati Uniti sono elenchi che consistono di persone con antecedenti di reati violenti che possono essere considerate armate e pericolose. </w:t>
      </w:r>
    </w:p>
    <w:p w14:paraId="6B90E335" w14:textId="1276EF9A" w:rsidR="009E186A" w:rsidRPr="009E186A" w:rsidRDefault="009E186A" w:rsidP="00151BDD">
      <w:pPr>
        <w:numPr>
          <w:ilvl w:val="0"/>
          <w:numId w:val="16"/>
        </w:numPr>
        <w:spacing w:before="100" w:beforeAutospacing="1" w:after="100" w:afterAutospacing="1" w:line="240" w:lineRule="auto"/>
        <w:rPr>
          <w:rFonts w:ascii="Verdana" w:hAnsi="Verdana"/>
          <w:b/>
          <w:bCs/>
          <w:sz w:val="16"/>
          <w:szCs w:val="16"/>
        </w:rPr>
      </w:pPr>
      <w:r>
        <w:rPr>
          <w:rFonts w:ascii="Verdana" w:hAnsi="Verdana"/>
          <w:sz w:val="16"/>
          <w:szCs w:val="16"/>
        </w:rPr>
        <w:t>Servizi Segreti degli Stati Uniti</w:t>
      </w:r>
      <w:r w:rsidR="00151BDD">
        <w:rPr>
          <w:rFonts w:ascii="Verdana" w:hAnsi="Verdana"/>
          <w:sz w:val="16"/>
          <w:szCs w:val="16"/>
        </w:rPr>
        <w:t xml:space="preserve"> – </w:t>
      </w:r>
      <w:r>
        <w:rPr>
          <w:rFonts w:ascii="Verdana" w:hAnsi="Verdana"/>
          <w:sz w:val="16"/>
          <w:szCs w:val="16"/>
        </w:rPr>
        <w:t>I più ricercati</w:t>
      </w:r>
      <w:r>
        <w:rPr>
          <w:rFonts w:ascii="Verdana" w:hAnsi="Verdana"/>
          <w:b/>
          <w:bCs/>
          <w:sz w:val="16"/>
          <w:szCs w:val="16"/>
        </w:rPr>
        <w:t xml:space="preserve"> </w:t>
      </w:r>
    </w:p>
    <w:p w14:paraId="3069532E" w14:textId="77777777" w:rsidR="009E186A" w:rsidRPr="009E186A" w:rsidRDefault="009E186A" w:rsidP="00151BDD">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o I Servizi Segreti degli Stati Uniti hanno il mandato di svolgere missioni: protezione e indagini penali. Nelle indagini penali, i Servizi Segreti sono responsabili dell'applicazione delle leggi relative alla contraffazione di obbligazioni e titoli degli Stati Uniti, dell'indagine di reati finanziari fra cui la frode di dispositivi di accesso, la frode di istituti finanziari, il furto d'identità, la frode informatica, la frode in materia di telecomunicazioni e gli attacchi informatici alla nostra infrastruttura nazionale finanziaria, bancaria e delle telecomunicazioni. </w:t>
      </w:r>
    </w:p>
    <w:p w14:paraId="53A8C6FA" w14:textId="77777777" w:rsidR="009E186A" w:rsidRPr="009E186A" w:rsidRDefault="009E186A" w:rsidP="00151BDD">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Ufficio delle Azioni amministrative per l'integrità della ricerca </w:t>
      </w:r>
    </w:p>
    <w:p w14:paraId="0CE658AA" w14:textId="77777777" w:rsidR="009E186A" w:rsidRPr="009E186A" w:rsidRDefault="009E186A" w:rsidP="00151BDD">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I nomi delle persone cui sono state imposte azioni amministrative dall'Ufficio per l'integrità della ricerca (ORI), conservati dal Servizio sanitario pubblico (PHS). Il Vice segretario per la salute (ASH) prende la decisione finale del PHS sulle conclusioni di negligenza nella ricerca sull'imposizione di azioni amministrative dopo aver revisionato le raccomandazioni formulate dall'ORI. </w:t>
      </w:r>
    </w:p>
    <w:p w14:paraId="7BE41E30" w14:textId="2EF40A67" w:rsidR="009E186A" w:rsidRPr="009E186A" w:rsidRDefault="009E186A" w:rsidP="00151BDD">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Servizi d'ispezione postale degli Stati Uniti</w:t>
      </w:r>
      <w:r w:rsidR="00151BDD">
        <w:rPr>
          <w:rFonts w:ascii="Verdana" w:hAnsi="Verdana"/>
          <w:sz w:val="16"/>
          <w:szCs w:val="16"/>
        </w:rPr>
        <w:t xml:space="preserve"> – </w:t>
      </w:r>
      <w:r>
        <w:rPr>
          <w:rFonts w:ascii="Verdana" w:hAnsi="Verdana"/>
          <w:sz w:val="16"/>
          <w:szCs w:val="16"/>
        </w:rPr>
        <w:t xml:space="preserve">I principali ricercati </w:t>
      </w:r>
    </w:p>
    <w:p w14:paraId="79670C9F" w14:textId="77777777" w:rsidR="009E186A" w:rsidRPr="009E186A" w:rsidRDefault="009E186A" w:rsidP="00151BDD">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Importanti ambiti di giurisdizione comprendono: aggressioni, bombe, sostanze controllate, reati elettronici, frodi postali e riciclaggio di denaro sporco. </w:t>
      </w:r>
    </w:p>
    <w:p w14:paraId="015C3344" w14:textId="77777777" w:rsidR="009E186A" w:rsidRPr="009E186A" w:rsidRDefault="009E186A" w:rsidP="00151BDD">
      <w:pPr>
        <w:spacing w:before="0" w:line="240" w:lineRule="auto"/>
        <w:rPr>
          <w:rFonts w:ascii="Verdana" w:hAnsi="Verdana"/>
          <w:sz w:val="16"/>
          <w:szCs w:val="16"/>
        </w:rPr>
      </w:pPr>
      <w:r>
        <w:rPr>
          <w:rFonts w:ascii="Verdana" w:hAnsi="Verdana"/>
          <w:b/>
          <w:bCs/>
          <w:i/>
          <w:iCs/>
          <w:color w:val="000066"/>
          <w:sz w:val="16"/>
          <w:szCs w:val="16"/>
        </w:rPr>
        <w:t>Persone esposte politicamente e Ufficio dell'Ispettore generale</w:t>
      </w:r>
    </w:p>
    <w:p w14:paraId="492762C9" w14:textId="21B62840" w:rsidR="009E186A" w:rsidRPr="009E186A" w:rsidRDefault="009E186A" w:rsidP="00151BDD">
      <w:pPr>
        <w:numPr>
          <w:ilvl w:val="0"/>
          <w:numId w:val="17"/>
        </w:numPr>
        <w:spacing w:before="100" w:beforeAutospacing="1" w:after="100" w:afterAutospacing="1" w:line="240" w:lineRule="auto"/>
        <w:rPr>
          <w:rFonts w:ascii="Verdana" w:hAnsi="Verdana"/>
          <w:sz w:val="16"/>
          <w:szCs w:val="16"/>
        </w:rPr>
      </w:pPr>
      <w:r>
        <w:rPr>
          <w:rFonts w:ascii="Verdana" w:hAnsi="Verdana"/>
          <w:sz w:val="16"/>
          <w:szCs w:val="16"/>
        </w:rPr>
        <w:t>Capi di Stato e Membri di gabinetto di Governi stranieri</w:t>
      </w:r>
      <w:r w:rsidR="00151BDD">
        <w:rPr>
          <w:rFonts w:ascii="Verdana" w:hAnsi="Verdana"/>
          <w:sz w:val="16"/>
          <w:szCs w:val="16"/>
        </w:rPr>
        <w:t xml:space="preserve"> – </w:t>
      </w:r>
      <w:r>
        <w:rPr>
          <w:rFonts w:ascii="Verdana" w:hAnsi="Verdana"/>
          <w:sz w:val="16"/>
          <w:szCs w:val="16"/>
        </w:rPr>
        <w:t xml:space="preserve">CIA [Agenzia di Intelligence Centrale] </w:t>
      </w:r>
    </w:p>
    <w:p w14:paraId="0705A3DF" w14:textId="77777777" w:rsidR="009E186A" w:rsidRPr="009E186A" w:rsidRDefault="009E186A" w:rsidP="00151BDD">
      <w:pPr>
        <w:numPr>
          <w:ilvl w:val="0"/>
          <w:numId w:val="17"/>
        </w:numPr>
        <w:spacing w:before="100" w:beforeAutospacing="1" w:after="100" w:afterAutospacing="1" w:line="240" w:lineRule="auto"/>
        <w:rPr>
          <w:rFonts w:ascii="Verdana" w:hAnsi="Verdana"/>
          <w:sz w:val="16"/>
          <w:szCs w:val="16"/>
        </w:rPr>
      </w:pPr>
      <w:r>
        <w:rPr>
          <w:rFonts w:ascii="Verdana" w:hAnsi="Verdana"/>
          <w:sz w:val="16"/>
          <w:szCs w:val="16"/>
        </w:rPr>
        <w:t xml:space="preserve">Figure politiche di rilievo e oligarchi nella Federazione russa ["Lista Putin"] </w:t>
      </w:r>
    </w:p>
    <w:p w14:paraId="7E6C61B3" w14:textId="11AD62FD" w:rsidR="009E186A" w:rsidRPr="009E186A" w:rsidRDefault="009E186A" w:rsidP="00151BDD">
      <w:pPr>
        <w:numPr>
          <w:ilvl w:val="0"/>
          <w:numId w:val="17"/>
        </w:numPr>
        <w:spacing w:before="100" w:beforeAutospacing="1" w:after="100" w:afterAutospacing="1" w:line="240" w:lineRule="auto"/>
        <w:rPr>
          <w:rFonts w:ascii="Verdana" w:hAnsi="Verdana"/>
          <w:sz w:val="16"/>
          <w:szCs w:val="16"/>
        </w:rPr>
      </w:pPr>
      <w:r>
        <w:rPr>
          <w:rFonts w:ascii="Verdana" w:hAnsi="Verdana"/>
          <w:sz w:val="16"/>
          <w:szCs w:val="16"/>
        </w:rPr>
        <w:t>Ufficio dell'Ispettore generale</w:t>
      </w:r>
      <w:r w:rsidR="00151BDD">
        <w:rPr>
          <w:rFonts w:ascii="Verdana" w:hAnsi="Verdana"/>
          <w:sz w:val="16"/>
          <w:szCs w:val="16"/>
        </w:rPr>
        <w:t xml:space="preserve"> – </w:t>
      </w:r>
      <w:r>
        <w:rPr>
          <w:rFonts w:ascii="Verdana" w:hAnsi="Verdana"/>
          <w:sz w:val="16"/>
          <w:szCs w:val="16"/>
        </w:rPr>
        <w:t xml:space="preserve">Elenco di persone/entità escluse dai programmi sanitari federali e dai programmi Medicare </w:t>
      </w:r>
    </w:p>
    <w:p w14:paraId="1EECF901" w14:textId="77777777" w:rsidR="009E186A" w:rsidRPr="009E186A" w:rsidRDefault="009E186A" w:rsidP="00151BDD">
      <w:pPr>
        <w:spacing w:before="0" w:line="240" w:lineRule="auto"/>
        <w:rPr>
          <w:rFonts w:ascii="Verdana" w:hAnsi="Verdana"/>
          <w:sz w:val="16"/>
          <w:szCs w:val="16"/>
        </w:rPr>
      </w:pPr>
      <w:r>
        <w:rPr>
          <w:rFonts w:ascii="Verdana" w:hAnsi="Verdana"/>
          <w:b/>
          <w:bCs/>
          <w:i/>
          <w:iCs/>
          <w:color w:val="000066"/>
          <w:sz w:val="16"/>
          <w:szCs w:val="16"/>
        </w:rPr>
        <w:lastRenderedPageBreak/>
        <w:t>Elenchi di terroristi internazionali, persone bloccate, ricercati ed entità</w:t>
      </w:r>
    </w:p>
    <w:p w14:paraId="04196146" w14:textId="77777777" w:rsidR="009E186A" w:rsidRPr="009E186A" w:rsidRDefault="009E186A" w:rsidP="00151BDD">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Elenco consolidato dell'Unione europea </w:t>
      </w:r>
    </w:p>
    <w:p w14:paraId="5CB57FF6" w14:textId="53947008" w:rsidR="009E186A" w:rsidRPr="009E186A" w:rsidRDefault="009E186A" w:rsidP="00151BDD">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L'elenco consolidato dell'Unione europea più le persone e le entità dell'Unione europea soggette a</w:t>
      </w:r>
      <w:r w:rsidR="00151BDD">
        <w:rPr>
          <w:rFonts w:ascii="Verdana" w:hAnsi="Verdana"/>
          <w:sz w:val="16"/>
          <w:szCs w:val="16"/>
        </w:rPr>
        <w:t> </w:t>
      </w:r>
      <w:r>
        <w:rPr>
          <w:rFonts w:ascii="Verdana" w:hAnsi="Verdana"/>
          <w:sz w:val="16"/>
          <w:szCs w:val="16"/>
        </w:rPr>
        <w:t xml:space="preserve">misure restrittive a norma dei regolamenti del Consiglio dell'Unione europea. </w:t>
      </w:r>
    </w:p>
    <w:p w14:paraId="39FAEFC9" w14:textId="77777777" w:rsidR="009E186A" w:rsidRPr="009E186A" w:rsidRDefault="009E186A" w:rsidP="00151BDD">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Latitanti più ricercati dall'Europol </w:t>
      </w:r>
    </w:p>
    <w:p w14:paraId="6ACDCFAD" w14:textId="77777777" w:rsidR="009E186A" w:rsidRPr="009E186A" w:rsidRDefault="009E186A" w:rsidP="00151BDD">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Ricercati recenti dall'Interpol </w:t>
      </w:r>
    </w:p>
    <w:p w14:paraId="74A521FF" w14:textId="77777777" w:rsidR="009E186A" w:rsidRPr="009E186A" w:rsidRDefault="009E186A" w:rsidP="00151BDD">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Elenca le persone ricercate dalle giurisdizioni nazionali. </w:t>
      </w:r>
    </w:p>
    <w:p w14:paraId="7E16211A" w14:textId="77777777" w:rsidR="009E186A" w:rsidRPr="009E186A" w:rsidRDefault="009E186A" w:rsidP="00151BDD">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Utenti finali stranieri sospetti del Giappone </w:t>
      </w:r>
    </w:p>
    <w:p w14:paraId="3200F12F" w14:textId="77777777" w:rsidR="009E186A" w:rsidRPr="009E186A" w:rsidRDefault="009E186A" w:rsidP="00151BDD">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Militanti ricercati del Regno dell'Arabia Saudita </w:t>
      </w:r>
    </w:p>
    <w:p w14:paraId="693172F6" w14:textId="77777777" w:rsidR="009E186A" w:rsidRPr="009E186A" w:rsidRDefault="009E186A" w:rsidP="00151BDD">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Elenco di entità per la prevenzione di emergenze e la sicurezza pubblica del Canada </w:t>
      </w:r>
    </w:p>
    <w:p w14:paraId="29142DDF" w14:textId="01C6F171" w:rsidR="009E186A" w:rsidRPr="009E186A" w:rsidRDefault="009E186A" w:rsidP="00151BDD">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Affari esteri australiani</w:t>
      </w:r>
      <w:r w:rsidR="00151BDD">
        <w:rPr>
          <w:rFonts w:ascii="Verdana" w:hAnsi="Verdana"/>
          <w:sz w:val="16"/>
          <w:szCs w:val="16"/>
        </w:rPr>
        <w:t xml:space="preserve"> – </w:t>
      </w:r>
      <w:r>
        <w:rPr>
          <w:rFonts w:ascii="Verdana" w:hAnsi="Verdana"/>
          <w:sz w:val="16"/>
          <w:szCs w:val="16"/>
        </w:rPr>
        <w:t xml:space="preserve">Elenco consolidato </w:t>
      </w:r>
    </w:p>
    <w:p w14:paraId="06308A13" w14:textId="77777777" w:rsidR="009E186A" w:rsidRPr="009E186A" w:rsidRDefault="009E186A" w:rsidP="00151BDD">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Elenco consolidato del Ministero dell'Economia e delle Finanze [Gran Bretagna] </w:t>
      </w:r>
    </w:p>
    <w:p w14:paraId="0F2DA803" w14:textId="77777777" w:rsidR="009E186A" w:rsidRPr="009E186A" w:rsidRDefault="009E186A" w:rsidP="00151BDD">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L'elenco consolidato del Ministero dell'Economia e delle Finanze, più le persone e le entità del Ministero dell'Economia e delle Finanze soggette a misure restrittive a norma dei regolamenti del Consiglio dell'Unione europea. </w:t>
      </w:r>
    </w:p>
    <w:p w14:paraId="65933BE7" w14:textId="6D595380" w:rsidR="009E186A" w:rsidRPr="009E186A" w:rsidRDefault="009E186A" w:rsidP="00151BDD">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Agenzia canadese per i servizi frontalieri</w:t>
      </w:r>
      <w:r w:rsidR="00151BDD">
        <w:rPr>
          <w:rFonts w:ascii="Verdana" w:hAnsi="Verdana"/>
          <w:sz w:val="16"/>
          <w:szCs w:val="16"/>
        </w:rPr>
        <w:t xml:space="preserve"> – </w:t>
      </w:r>
      <w:r>
        <w:rPr>
          <w:rFonts w:ascii="Verdana" w:hAnsi="Verdana"/>
          <w:sz w:val="16"/>
          <w:szCs w:val="16"/>
        </w:rPr>
        <w:t xml:space="preserve">Elenco di ricercati </w:t>
      </w:r>
    </w:p>
    <w:p w14:paraId="5C6DEB54" w14:textId="77777777" w:rsidR="009E186A" w:rsidRPr="009E186A" w:rsidRDefault="009E186A" w:rsidP="00151BDD">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Violazioni dei diritti umani e internazionali a norma della Legge sui crimini contro l'umanità e sui crimini di guerra o a norma del diritto internazionale. </w:t>
      </w:r>
    </w:p>
    <w:p w14:paraId="7FE9CA42" w14:textId="77777777" w:rsidR="009E186A" w:rsidRPr="009E186A" w:rsidRDefault="009E186A" w:rsidP="00151BDD">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Sanzioni economiche canadesi </w:t>
      </w:r>
    </w:p>
    <w:p w14:paraId="47013086" w14:textId="77777777" w:rsidR="009E186A" w:rsidRPr="009E186A" w:rsidRDefault="009E186A" w:rsidP="00151BDD">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Le sanzioni prevedono numerosi provvedimenti, fra cui restrizioni sui contatti ufficiali o diplomatici o sui viaggi, l'imposizione di misure giuridiche per restringere o proibire il commercio o altre attività economiche fra il Canada e il paese di destinazione, o la confisca o il congelamento di proprietà situate in Canada. </w:t>
      </w:r>
    </w:p>
    <w:p w14:paraId="13AF69C3" w14:textId="77382A95" w:rsidR="009E186A" w:rsidRPr="009E186A" w:rsidRDefault="009E186A" w:rsidP="00151BDD">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RCMP</w:t>
      </w:r>
      <w:r w:rsidR="00151BDD">
        <w:rPr>
          <w:rFonts w:ascii="Verdana" w:hAnsi="Verdana"/>
          <w:sz w:val="16"/>
          <w:szCs w:val="16"/>
        </w:rPr>
        <w:t xml:space="preserve"> – </w:t>
      </w:r>
      <w:r>
        <w:rPr>
          <w:rFonts w:ascii="Verdana" w:hAnsi="Verdana"/>
          <w:sz w:val="16"/>
          <w:szCs w:val="16"/>
        </w:rPr>
        <w:t xml:space="preserve">Latitanti ricercati </w:t>
      </w:r>
    </w:p>
    <w:p w14:paraId="4B791297" w14:textId="77777777" w:rsidR="009E186A" w:rsidRPr="009E186A" w:rsidRDefault="009E186A" w:rsidP="00151BDD">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Applica le leggi emanate dall'autorità del parlamento canadese o sotto la sua guida. </w:t>
      </w:r>
    </w:p>
    <w:p w14:paraId="7ECAFFE5" w14:textId="1CD2B498" w:rsidR="009E186A" w:rsidRPr="009E186A" w:rsidRDefault="009E186A" w:rsidP="00151BDD">
      <w:pPr>
        <w:numPr>
          <w:ilvl w:val="0"/>
          <w:numId w:val="18"/>
        </w:numPr>
        <w:spacing w:before="100" w:beforeAutospacing="1" w:after="100" w:afterAutospacing="1" w:line="240" w:lineRule="auto"/>
        <w:rPr>
          <w:rFonts w:ascii="Verdana" w:hAnsi="Verdana"/>
          <w:sz w:val="16"/>
          <w:szCs w:val="16"/>
        </w:rPr>
      </w:pPr>
      <w:r>
        <w:rPr>
          <w:rFonts w:ascii="Verdana" w:hAnsi="Verdana"/>
          <w:b/>
          <w:bCs/>
          <w:sz w:val="16"/>
          <w:szCs w:val="16"/>
        </w:rPr>
        <w:t>FinCEN (Legge PATRIOTTICA degli Stati Uniti) Sezione 311</w:t>
      </w:r>
      <w:r w:rsidR="00151BDD">
        <w:rPr>
          <w:rFonts w:ascii="Verdana" w:hAnsi="Verdana"/>
          <w:b/>
          <w:bCs/>
          <w:sz w:val="16"/>
          <w:szCs w:val="16"/>
        </w:rPr>
        <w:t xml:space="preserve"> – </w:t>
      </w:r>
      <w:r>
        <w:rPr>
          <w:rFonts w:ascii="Verdana" w:hAnsi="Verdana"/>
          <w:b/>
          <w:bCs/>
          <w:sz w:val="16"/>
          <w:szCs w:val="16"/>
        </w:rPr>
        <w:t>Misure speciali</w:t>
      </w:r>
      <w:r>
        <w:rPr>
          <w:rFonts w:ascii="Verdana" w:hAnsi="Verdana"/>
          <w:sz w:val="16"/>
          <w:szCs w:val="16"/>
        </w:rPr>
        <w:t xml:space="preserve"> </w:t>
      </w:r>
    </w:p>
    <w:p w14:paraId="4CC7FA9D" w14:textId="77777777" w:rsidR="009E186A" w:rsidRPr="009E186A" w:rsidRDefault="009E186A" w:rsidP="00151BDD">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Elenco della Banca mondiale delle imprese inammissibili </w:t>
      </w:r>
    </w:p>
    <w:p w14:paraId="2EE62DA1" w14:textId="77777777" w:rsidR="009E186A" w:rsidRPr="009E186A" w:rsidRDefault="009E186A" w:rsidP="00151BDD">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Elenca i nomi di imprese e persone inammissibili per l'assegnazione di un contratto finanziato dalla Banca mondiale per i periodi indicati, per aver violato le disposizioni in materia di frode e corruzione degli Orientamenti sugli appalti o degli Orientamenti sui consulenti. </w:t>
      </w:r>
    </w:p>
    <w:p w14:paraId="4F715619" w14:textId="36ED4AAC" w:rsidR="009E186A" w:rsidRPr="009E186A" w:rsidRDefault="009E186A" w:rsidP="00151BDD">
      <w:pPr>
        <w:numPr>
          <w:ilvl w:val="0"/>
          <w:numId w:val="18"/>
        </w:numPr>
        <w:spacing w:before="100" w:beforeAutospacing="1" w:after="100" w:afterAutospacing="1" w:line="240" w:lineRule="auto"/>
        <w:rPr>
          <w:rFonts w:ascii="Verdana" w:hAnsi="Verdana"/>
          <w:sz w:val="16"/>
          <w:szCs w:val="16"/>
        </w:rPr>
      </w:pPr>
      <w:r>
        <w:rPr>
          <w:rFonts w:ascii="Verdana" w:hAnsi="Verdana"/>
          <w:b/>
          <w:bCs/>
          <w:sz w:val="16"/>
          <w:szCs w:val="16"/>
        </w:rPr>
        <w:t>Elenco consolidato OSFI</w:t>
      </w:r>
      <w:r w:rsidR="00151BDD">
        <w:rPr>
          <w:rFonts w:ascii="Verdana" w:hAnsi="Verdana"/>
          <w:b/>
          <w:bCs/>
          <w:sz w:val="16"/>
          <w:szCs w:val="16"/>
        </w:rPr>
        <w:t xml:space="preserve"> – </w:t>
      </w:r>
      <w:r>
        <w:rPr>
          <w:rFonts w:ascii="Verdana" w:hAnsi="Verdana"/>
          <w:b/>
          <w:bCs/>
          <w:sz w:val="16"/>
          <w:szCs w:val="16"/>
        </w:rPr>
        <w:t>Entità</w:t>
      </w:r>
      <w:r>
        <w:rPr>
          <w:rFonts w:ascii="Verdana" w:hAnsi="Verdana"/>
          <w:sz w:val="16"/>
          <w:szCs w:val="16"/>
        </w:rPr>
        <w:t xml:space="preserve"> </w:t>
      </w:r>
    </w:p>
    <w:p w14:paraId="4A00EA67" w14:textId="3B454B24" w:rsidR="009E186A" w:rsidRPr="009E186A" w:rsidRDefault="009E186A" w:rsidP="00151BDD">
      <w:pPr>
        <w:numPr>
          <w:ilvl w:val="0"/>
          <w:numId w:val="18"/>
        </w:numPr>
        <w:spacing w:before="100" w:beforeAutospacing="1" w:after="100" w:afterAutospacing="1" w:line="240" w:lineRule="auto"/>
        <w:rPr>
          <w:rFonts w:ascii="Verdana" w:hAnsi="Verdana"/>
          <w:sz w:val="16"/>
          <w:szCs w:val="16"/>
        </w:rPr>
      </w:pPr>
      <w:r>
        <w:rPr>
          <w:rFonts w:ascii="Verdana" w:hAnsi="Verdana"/>
          <w:b/>
          <w:bCs/>
          <w:sz w:val="16"/>
          <w:szCs w:val="16"/>
        </w:rPr>
        <w:t>Elenco consolidato OSFI</w:t>
      </w:r>
      <w:r w:rsidR="00151BDD">
        <w:rPr>
          <w:rFonts w:ascii="Verdana" w:hAnsi="Verdana"/>
          <w:b/>
          <w:bCs/>
          <w:sz w:val="16"/>
          <w:szCs w:val="16"/>
        </w:rPr>
        <w:t xml:space="preserve"> – </w:t>
      </w:r>
      <w:r>
        <w:rPr>
          <w:rFonts w:ascii="Verdana" w:hAnsi="Verdana"/>
          <w:b/>
          <w:bCs/>
          <w:sz w:val="16"/>
          <w:szCs w:val="16"/>
        </w:rPr>
        <w:t>Persone fisiche</w:t>
      </w:r>
      <w:r>
        <w:rPr>
          <w:rFonts w:ascii="Verdana" w:hAnsi="Verdana"/>
          <w:sz w:val="16"/>
          <w:szCs w:val="16"/>
        </w:rPr>
        <w:t xml:space="preserve"> </w:t>
      </w:r>
    </w:p>
    <w:p w14:paraId="202D4BC9" w14:textId="77777777" w:rsidR="009E186A" w:rsidRPr="009E186A" w:rsidRDefault="009E186A" w:rsidP="00151BDD">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L'Ufficio del Sovrintendente degli Istituti finanziari (OSFI) pubblica i nomi soggetti ai regolamenti, creando un elenco a norma del Codice penale canadese o dei regolamenti delle Nazioni Unite sull'eliminazione del terrorismo. L'OSFI è l'unica autorità di regolamentazione delle banche e la principale autorità di regolamentazione di compagnie di assicurazione, società fiduciarie, istituti di credito e piani pensionistici in Canada. </w:t>
      </w:r>
    </w:p>
    <w:p w14:paraId="04C113BF" w14:textId="77777777" w:rsidR="009E186A" w:rsidRPr="009E186A" w:rsidRDefault="009E186A" w:rsidP="00151BDD">
      <w:pPr>
        <w:numPr>
          <w:ilvl w:val="0"/>
          <w:numId w:val="18"/>
        </w:numPr>
        <w:spacing w:before="100" w:beforeAutospacing="1" w:after="100" w:afterAutospacing="1" w:line="240" w:lineRule="auto"/>
        <w:rPr>
          <w:rFonts w:ascii="Verdana" w:hAnsi="Verdana"/>
          <w:sz w:val="16"/>
          <w:szCs w:val="16"/>
        </w:rPr>
      </w:pPr>
      <w:r>
        <w:rPr>
          <w:rFonts w:ascii="Verdana" w:hAnsi="Verdana"/>
          <w:b/>
          <w:bCs/>
          <w:sz w:val="16"/>
          <w:szCs w:val="16"/>
        </w:rPr>
        <w:t>Elenco di diffide OSFI</w:t>
      </w:r>
      <w:r>
        <w:rPr>
          <w:rFonts w:ascii="Verdana" w:hAnsi="Verdana"/>
          <w:sz w:val="16"/>
          <w:szCs w:val="16"/>
        </w:rPr>
        <w:t xml:space="preserve"> </w:t>
      </w:r>
    </w:p>
    <w:p w14:paraId="7E1F42ED" w14:textId="77777777" w:rsidR="009E186A" w:rsidRPr="009E186A" w:rsidRDefault="009E186A" w:rsidP="00151BDD">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Pubblica i nomi delle entità che possono sollevare preoccupazioni per la comunità imprenditoriale e il pubblico. </w:t>
      </w:r>
    </w:p>
    <w:p w14:paraId="10577550" w14:textId="77777777" w:rsidR="009E186A" w:rsidRPr="0077374E" w:rsidRDefault="009E186A" w:rsidP="00151BDD">
      <w:pPr>
        <w:spacing w:before="100" w:beforeAutospacing="1" w:after="100" w:afterAutospacing="1" w:line="276" w:lineRule="auto"/>
        <w:ind w:left="720"/>
        <w:rPr>
          <w:rFonts w:ascii="Verdana" w:hAnsi="Verdana"/>
          <w:sz w:val="16"/>
          <w:szCs w:val="16"/>
          <w:lang w:val="es-ES"/>
        </w:rPr>
      </w:pPr>
    </w:p>
    <w:p w14:paraId="76C43801" w14:textId="7125E376" w:rsidR="00B44EB7" w:rsidRPr="00B44EB7" w:rsidRDefault="00B44EB7" w:rsidP="00151BDD">
      <w:pPr>
        <w:spacing w:before="100" w:beforeAutospacing="1" w:after="100" w:afterAutospacing="1" w:line="276" w:lineRule="auto"/>
        <w:rPr>
          <w:b/>
          <w:u w:val="single"/>
        </w:rPr>
      </w:pPr>
    </w:p>
    <w:sectPr w:rsidR="00B44EB7" w:rsidRPr="00B44EB7" w:rsidSect="007E6BF3">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51" w:right="1009" w:bottom="1151" w:left="1009" w:header="720" w:footer="43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5741A" w14:textId="77777777" w:rsidR="009D4291" w:rsidRDefault="009D4291" w:rsidP="00FF0F75">
      <w:r>
        <w:separator/>
      </w:r>
    </w:p>
  </w:endnote>
  <w:endnote w:type="continuationSeparator" w:id="0">
    <w:p w14:paraId="36C9D095" w14:textId="77777777" w:rsidR="009D4291" w:rsidRPr="000B495E" w:rsidRDefault="009D4291" w:rsidP="000B495E">
      <w:r>
        <w:separator/>
      </w:r>
    </w:p>
  </w:endnote>
  <w:endnote w:type="continuationNotice" w:id="1">
    <w:p w14:paraId="642713B1" w14:textId="77777777" w:rsidR="009D4291" w:rsidRDefault="009D4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C34CB" w14:textId="77777777" w:rsidR="003405D1" w:rsidRDefault="00340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7504" w14:textId="3FCCD23C" w:rsidR="009845EB" w:rsidRPr="00A02A48" w:rsidRDefault="003405D1">
    <w:r>
      <w:rPr>
        <w:sz w:val="16"/>
      </w:rPr>
      <w:t>Rev. maggio 2018</w:t>
    </w:r>
    <w:r>
      <w:ptab w:relativeTo="margin" w:alignment="center" w:leader="none"/>
    </w:r>
    <w:r w:rsidR="002140A1" w:rsidRPr="00A02A48">
      <w:fldChar w:fldCharType="begin"/>
    </w:r>
    <w:r w:rsidR="002140A1" w:rsidRPr="00A02A48">
      <w:instrText xml:space="preserve"> PAGE   \* MERGEFORMAT </w:instrText>
    </w:r>
    <w:r w:rsidR="002140A1" w:rsidRPr="00A02A48">
      <w:fldChar w:fldCharType="separate"/>
    </w:r>
    <w:r w:rsidR="001978C2">
      <w:rPr>
        <w:noProof/>
      </w:rPr>
      <w:t>3</w:t>
    </w:r>
    <w:r w:rsidR="002140A1" w:rsidRPr="00A02A48">
      <w:fldChar w:fldCharType="end"/>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3647A" w14:textId="041EA8CF" w:rsidR="009845EB" w:rsidRPr="007E6BF3" w:rsidRDefault="009E186A" w:rsidP="007E6BF3">
    <w:r>
      <w:rPr>
        <w:sz w:val="16"/>
      </w:rPr>
      <w:t>Rev. maggio 2018</w:t>
    </w:r>
    <w:r>
      <w:ptab w:relativeTo="margin" w:alignment="center" w:leader="none"/>
    </w:r>
    <w:r w:rsidR="007E6BF3" w:rsidRPr="00A02A48">
      <w:fldChar w:fldCharType="begin"/>
    </w:r>
    <w:r w:rsidR="007E6BF3" w:rsidRPr="00A02A48">
      <w:instrText xml:space="preserve"> PAGE   \* MERGEFORMAT </w:instrText>
    </w:r>
    <w:r w:rsidR="007E6BF3" w:rsidRPr="00A02A48">
      <w:fldChar w:fldCharType="separate"/>
    </w:r>
    <w:r w:rsidR="001978C2">
      <w:rPr>
        <w:noProof/>
      </w:rPr>
      <w:t>1</w:t>
    </w:r>
    <w:r w:rsidR="007E6BF3" w:rsidRPr="00A02A48">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BB2DF" w14:textId="77777777" w:rsidR="009D4291" w:rsidRDefault="009D4291" w:rsidP="00FF0F75">
      <w:r>
        <w:separator/>
      </w:r>
    </w:p>
  </w:footnote>
  <w:footnote w:type="continuationSeparator" w:id="0">
    <w:p w14:paraId="035BEDE3" w14:textId="77777777" w:rsidR="009D4291" w:rsidRPr="000B495E" w:rsidRDefault="009D4291" w:rsidP="000B495E">
      <w:r>
        <w:separator/>
      </w:r>
    </w:p>
  </w:footnote>
  <w:footnote w:type="continuationNotice" w:id="1">
    <w:p w14:paraId="3D5CEC07" w14:textId="77777777" w:rsidR="009D4291" w:rsidRDefault="009D4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1C680" w14:textId="77777777" w:rsidR="003405D1" w:rsidRDefault="00340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FAF82" w14:textId="77777777" w:rsidR="003405D1" w:rsidRDefault="00340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85254" w14:textId="77777777" w:rsidR="003405D1" w:rsidRDefault="00340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39C"/>
    <w:multiLevelType w:val="multilevel"/>
    <w:tmpl w:val="2BCCB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D5F5A"/>
    <w:multiLevelType w:val="multilevel"/>
    <w:tmpl w:val="8546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77632"/>
    <w:multiLevelType w:val="hybridMultilevel"/>
    <w:tmpl w:val="5FF0EB2C"/>
    <w:lvl w:ilvl="0" w:tplc="9160ADF6">
      <w:start w:val="1"/>
      <w:numFmt w:val="lowerLetter"/>
      <w:pStyle w:val="Stylea"/>
      <w:lvlText w:val="(%1)"/>
      <w:lvlJc w:val="left"/>
      <w:pPr>
        <w:ind w:left="1644" w:hanging="924"/>
      </w:pPr>
      <w:rPr>
        <w:rFonts w:ascii="Arial" w:hAnsi="Arial" w:hint="default"/>
        <w:b w:val="0"/>
        <w:i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63597C"/>
    <w:multiLevelType w:val="hybridMultilevel"/>
    <w:tmpl w:val="7A7C64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5A77E0"/>
    <w:multiLevelType w:val="hybridMultilevel"/>
    <w:tmpl w:val="D9AAD186"/>
    <w:lvl w:ilvl="0" w:tplc="6CFEA672">
      <w:start w:val="1"/>
      <w:numFmt w:val="decimal"/>
      <w:pStyle w:val="Style1"/>
      <w:lvlText w:val="(%1)"/>
      <w:lvlJc w:val="left"/>
      <w:pPr>
        <w:ind w:left="720" w:hanging="72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 w15:restartNumberingAfterBreak="0">
    <w:nsid w:val="11C274EA"/>
    <w:multiLevelType w:val="multilevel"/>
    <w:tmpl w:val="00FA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52CB8"/>
    <w:multiLevelType w:val="hybridMultilevel"/>
    <w:tmpl w:val="76C86408"/>
    <w:lvl w:ilvl="0" w:tplc="31D63DF6">
      <w:start w:val="1"/>
      <w:numFmt w:val="lowerRoman"/>
      <w:pStyle w:val="Stylei"/>
      <w:lvlText w:val="(%1)"/>
      <w:lvlJc w:val="left"/>
      <w:pPr>
        <w:ind w:left="1644" w:hanging="924"/>
      </w:pPr>
      <w:rPr>
        <w:rFonts w:ascii="Arial" w:hAnsi="Arial" w:hint="default"/>
        <w:b w:val="0"/>
        <w:i w:val="0"/>
        <w:sz w:val="20"/>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7" w15:restartNumberingAfterBreak="0">
    <w:nsid w:val="19E058EC"/>
    <w:multiLevelType w:val="multilevel"/>
    <w:tmpl w:val="402E7DA8"/>
    <w:lvl w:ilvl="0">
      <w:start w:val="1"/>
      <w:numFmt w:val="decimal"/>
      <w:pStyle w:val="Schedule1"/>
      <w:suff w:val="space"/>
      <w:lvlText w:val="schedule %1"/>
      <w:lvlJc w:val="left"/>
      <w:pPr>
        <w:ind w:left="0" w:firstLine="0"/>
      </w:pPr>
      <w:rPr>
        <w:rFonts w:ascii="Arial" w:hAnsi="Arial" w:hint="default"/>
        <w:b/>
        <w:i w:val="0"/>
        <w:caps/>
        <w:sz w:val="20"/>
      </w:rPr>
    </w:lvl>
    <w:lvl w:ilvl="1">
      <w:start w:val="1"/>
      <w:numFmt w:val="decimal"/>
      <w:pStyle w:val="Schedule2"/>
      <w:lvlText w:val="%2."/>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edule3"/>
      <w:lvlText w:val="%2.%3."/>
      <w:lvlJc w:val="left"/>
      <w:pPr>
        <w:ind w:left="720" w:hanging="720"/>
      </w:pPr>
      <w:rPr>
        <w:rFonts w:ascii="Arial" w:hAnsi="Arial" w:hint="default"/>
        <w:b w:val="0"/>
        <w:i w:val="0"/>
        <w:sz w:val="20"/>
      </w:rPr>
    </w:lvl>
    <w:lvl w:ilvl="3">
      <w:start w:val="1"/>
      <w:numFmt w:val="decimal"/>
      <w:pStyle w:val="Schedule4"/>
      <w:lvlText w:val="%2.%3.%4."/>
      <w:lvlJc w:val="left"/>
      <w:pPr>
        <w:tabs>
          <w:tab w:val="num" w:pos="1644"/>
        </w:tabs>
        <w:ind w:left="1644" w:hanging="924"/>
      </w:pPr>
      <w:rPr>
        <w:rFonts w:ascii="Arial" w:hAnsi="Arial" w:hint="default"/>
        <w:b w:val="0"/>
        <w:i w:val="0"/>
        <w:sz w:val="20"/>
      </w:rPr>
    </w:lvl>
    <w:lvl w:ilvl="4">
      <w:start w:val="1"/>
      <w:numFmt w:val="decimal"/>
      <w:pStyle w:val="Schedule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91C4CE8"/>
    <w:multiLevelType w:val="multilevel"/>
    <w:tmpl w:val="D8EED330"/>
    <w:lvl w:ilvl="0">
      <w:start w:val="1"/>
      <w:numFmt w:val="decimal"/>
      <w:pStyle w:val="Appendix1"/>
      <w:suff w:val="space"/>
      <w:lvlText w:val="appendix %1"/>
      <w:lvlJc w:val="center"/>
      <w:pPr>
        <w:ind w:left="0" w:firstLine="288"/>
      </w:pPr>
      <w:rPr>
        <w:rFonts w:ascii="Arial" w:hAnsi="Arial" w:hint="default"/>
        <w:b/>
        <w:i w:val="0"/>
        <w:caps/>
        <w:sz w:val="20"/>
      </w:rPr>
    </w:lvl>
    <w:lvl w:ilvl="1">
      <w:start w:val="1"/>
      <w:numFmt w:val="decimal"/>
      <w:pStyle w:val="Appendix2"/>
      <w:lvlText w:val="%2."/>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Appendix3"/>
      <w:lvlText w:val="%2.%3."/>
      <w:lvlJc w:val="left"/>
      <w:pPr>
        <w:ind w:left="720" w:hanging="720"/>
      </w:pPr>
      <w:rPr>
        <w:rFonts w:ascii="Arial" w:hAnsi="Arial" w:hint="default"/>
        <w:b w:val="0"/>
        <w:i w:val="0"/>
        <w:sz w:val="20"/>
      </w:rPr>
    </w:lvl>
    <w:lvl w:ilvl="3">
      <w:start w:val="1"/>
      <w:numFmt w:val="decimal"/>
      <w:pStyle w:val="Appendix4"/>
      <w:lvlText w:val="%2.%3.%4."/>
      <w:lvlJc w:val="left"/>
      <w:pPr>
        <w:tabs>
          <w:tab w:val="num" w:pos="1644"/>
        </w:tabs>
        <w:ind w:left="1644" w:hanging="924"/>
      </w:pPr>
      <w:rPr>
        <w:rFonts w:ascii="Arial" w:hAnsi="Arial" w:hint="default"/>
        <w:b w:val="0"/>
        <w:i w:val="0"/>
        <w:sz w:val="20"/>
      </w:rPr>
    </w:lvl>
    <w:lvl w:ilvl="4">
      <w:start w:val="1"/>
      <w:numFmt w:val="decimal"/>
      <w:pStyle w:val="Appendix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28A26DF"/>
    <w:multiLevelType w:val="hybridMultilevel"/>
    <w:tmpl w:val="08EE1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CBC37BF"/>
    <w:multiLevelType w:val="multilevel"/>
    <w:tmpl w:val="D7486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33F5B"/>
    <w:multiLevelType w:val="multilevel"/>
    <w:tmpl w:val="8D044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307B5C"/>
    <w:multiLevelType w:val="hybridMultilevel"/>
    <w:tmpl w:val="31B07578"/>
    <w:lvl w:ilvl="0" w:tplc="C7603212">
      <w:start w:val="1"/>
      <w:numFmt w:val="upperLetter"/>
      <w:pStyle w:val="StyleA0"/>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9B53331"/>
    <w:multiLevelType w:val="multilevel"/>
    <w:tmpl w:val="5BBEF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24B76"/>
    <w:multiLevelType w:val="multilevel"/>
    <w:tmpl w:val="2C24D736"/>
    <w:lvl w:ilvl="0">
      <w:start w:val="1"/>
      <w:numFmt w:val="decimal"/>
      <w:pStyle w:val="Heading1"/>
      <w:lvlText w:val="%1."/>
      <w:lvlJc w:val="left"/>
      <w:pPr>
        <w:ind w:left="720" w:hanging="720"/>
      </w:pPr>
      <w:rPr>
        <w:rFonts w:ascii="Arial" w:hAnsi="Arial" w:hint="default"/>
        <w:b/>
        <w:i w:val="0"/>
        <w:caps/>
        <w:sz w:val="20"/>
      </w:rPr>
    </w:lvl>
    <w:lvl w:ilvl="1">
      <w:start w:val="1"/>
      <w:numFmt w:val="decimal"/>
      <w:pStyle w:val="Heading2"/>
      <w:lvlText w:val="%1.%2."/>
      <w:lvlJc w:val="left"/>
      <w:pPr>
        <w:ind w:left="720" w:hanging="720"/>
      </w:pPr>
      <w:rPr>
        <w:rFonts w:ascii="Arial" w:hAnsi="Arial" w:hint="default"/>
        <w:b w:val="0"/>
        <w:i w:val="0"/>
        <w:sz w:val="20"/>
      </w:rPr>
    </w:lvl>
    <w:lvl w:ilvl="2">
      <w:start w:val="1"/>
      <w:numFmt w:val="decimal"/>
      <w:pStyle w:val="Heading3"/>
      <w:lvlText w:val="%1.%2.%3."/>
      <w:lvlJc w:val="left"/>
      <w:pPr>
        <w:tabs>
          <w:tab w:val="num" w:pos="1644"/>
        </w:tabs>
        <w:ind w:left="1644" w:hanging="924"/>
      </w:pPr>
      <w:rPr>
        <w:rFonts w:ascii="Arial" w:hAnsi="Arial" w:hint="default"/>
        <w:b w:val="0"/>
        <w:i w:val="0"/>
        <w:sz w:val="20"/>
      </w:rPr>
    </w:lvl>
    <w:lvl w:ilvl="3">
      <w:start w:val="1"/>
      <w:numFmt w:val="decimal"/>
      <w:pStyle w:val="Heading4"/>
      <w:lvlText w:val="(%4)"/>
      <w:lvlJc w:val="left"/>
      <w:pPr>
        <w:tabs>
          <w:tab w:val="num" w:pos="2160"/>
        </w:tabs>
        <w:ind w:left="2160" w:hanging="516"/>
      </w:pPr>
      <w:rPr>
        <w:rFonts w:ascii="Arial" w:hAnsi="Arial" w:hint="default"/>
        <w:b w:val="0"/>
        <w:i w:val="0"/>
        <w:sz w:val="20"/>
      </w:rPr>
    </w:lvl>
    <w:lvl w:ilvl="4">
      <w:start w:val="1"/>
      <w:numFmt w:val="lowerLetter"/>
      <w:pStyle w:val="Heading5"/>
      <w:lvlText w:val="(%5)"/>
      <w:lvlJc w:val="left"/>
      <w:pPr>
        <w:tabs>
          <w:tab w:val="num" w:pos="2880"/>
        </w:tabs>
        <w:ind w:left="2880" w:hanging="720"/>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66A8116B"/>
    <w:multiLevelType w:val="hybridMultilevel"/>
    <w:tmpl w:val="1B642372"/>
    <w:lvl w:ilvl="0" w:tplc="1809000B">
      <w:start w:val="1"/>
      <w:numFmt w:val="bullet"/>
      <w:lvlText w:val=""/>
      <w:lvlJc w:val="left"/>
      <w:pPr>
        <w:ind w:left="411"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45C38F1"/>
    <w:multiLevelType w:val="hybridMultilevel"/>
    <w:tmpl w:val="CEBEE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F62249B"/>
    <w:multiLevelType w:val="multilevel"/>
    <w:tmpl w:val="20F4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2"/>
  </w:num>
  <w:num w:numId="4">
    <w:abstractNumId w:val="14"/>
  </w:num>
  <w:num w:numId="5">
    <w:abstractNumId w:val="7"/>
  </w:num>
  <w:num w:numId="6">
    <w:abstractNumId w:val="2"/>
  </w:num>
  <w:num w:numId="7">
    <w:abstractNumId w:val="8"/>
  </w:num>
  <w:num w:numId="8">
    <w:abstractNumId w:val="5"/>
  </w:num>
  <w:num w:numId="9">
    <w:abstractNumId w:val="3"/>
  </w:num>
  <w:num w:numId="10">
    <w:abstractNumId w:val="9"/>
  </w:num>
  <w:num w:numId="11">
    <w:abstractNumId w:val="16"/>
  </w:num>
  <w:num w:numId="12">
    <w:abstractNumId w:val="15"/>
  </w:num>
  <w:num w:numId="13">
    <w:abstractNumId w:val="0"/>
  </w:num>
  <w:num w:numId="14">
    <w:abstractNumId w:val="10"/>
  </w:num>
  <w:num w:numId="15">
    <w:abstractNumId w:val="17"/>
  </w:num>
  <w:num w:numId="16">
    <w:abstractNumId w:val="11"/>
  </w:num>
  <w:num w:numId="17">
    <w:abstractNumId w:val="1"/>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proofState w:spelling="clean" w:grammar="clean"/>
  <w:attachedTemplate r:id="rId1"/>
  <w:defaultTabStop w:val="720"/>
  <w:hyphenationZone w:val="425"/>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F5"/>
    <w:rsid w:val="00002D0F"/>
    <w:rsid w:val="00011A53"/>
    <w:rsid w:val="000147D4"/>
    <w:rsid w:val="000200DD"/>
    <w:rsid w:val="00022DC9"/>
    <w:rsid w:val="00023F8A"/>
    <w:rsid w:val="00027756"/>
    <w:rsid w:val="000311E7"/>
    <w:rsid w:val="00031A67"/>
    <w:rsid w:val="00033582"/>
    <w:rsid w:val="0003385B"/>
    <w:rsid w:val="00034E0D"/>
    <w:rsid w:val="0003691D"/>
    <w:rsid w:val="00051B20"/>
    <w:rsid w:val="00052244"/>
    <w:rsid w:val="00054C24"/>
    <w:rsid w:val="00064B4A"/>
    <w:rsid w:val="00066398"/>
    <w:rsid w:val="000664BA"/>
    <w:rsid w:val="00067386"/>
    <w:rsid w:val="000717E2"/>
    <w:rsid w:val="0007186C"/>
    <w:rsid w:val="00074121"/>
    <w:rsid w:val="00074482"/>
    <w:rsid w:val="00074971"/>
    <w:rsid w:val="00077BF4"/>
    <w:rsid w:val="00077C1A"/>
    <w:rsid w:val="00081851"/>
    <w:rsid w:val="0008329A"/>
    <w:rsid w:val="00091645"/>
    <w:rsid w:val="00095B10"/>
    <w:rsid w:val="000A1B51"/>
    <w:rsid w:val="000A392A"/>
    <w:rsid w:val="000B495E"/>
    <w:rsid w:val="000D216B"/>
    <w:rsid w:val="000D343C"/>
    <w:rsid w:val="000E0535"/>
    <w:rsid w:val="000E1B49"/>
    <w:rsid w:val="000E2610"/>
    <w:rsid w:val="000E439D"/>
    <w:rsid w:val="000F1C6D"/>
    <w:rsid w:val="00101443"/>
    <w:rsid w:val="00103062"/>
    <w:rsid w:val="001205E0"/>
    <w:rsid w:val="001220A4"/>
    <w:rsid w:val="00122F82"/>
    <w:rsid w:val="00125B59"/>
    <w:rsid w:val="001359AE"/>
    <w:rsid w:val="00137A19"/>
    <w:rsid w:val="00151BDD"/>
    <w:rsid w:val="00152A7E"/>
    <w:rsid w:val="00156693"/>
    <w:rsid w:val="00161BCD"/>
    <w:rsid w:val="001640F8"/>
    <w:rsid w:val="00164FC7"/>
    <w:rsid w:val="00175BAC"/>
    <w:rsid w:val="00181534"/>
    <w:rsid w:val="001854AF"/>
    <w:rsid w:val="00187897"/>
    <w:rsid w:val="001903F5"/>
    <w:rsid w:val="00190E21"/>
    <w:rsid w:val="0019126B"/>
    <w:rsid w:val="00194219"/>
    <w:rsid w:val="00195150"/>
    <w:rsid w:val="001965D4"/>
    <w:rsid w:val="001978C2"/>
    <w:rsid w:val="001A0700"/>
    <w:rsid w:val="001A0F8B"/>
    <w:rsid w:val="001A6681"/>
    <w:rsid w:val="001B0C67"/>
    <w:rsid w:val="001B2053"/>
    <w:rsid w:val="001C1C58"/>
    <w:rsid w:val="001C4684"/>
    <w:rsid w:val="001D400A"/>
    <w:rsid w:val="001D4635"/>
    <w:rsid w:val="001E07E8"/>
    <w:rsid w:val="001E6807"/>
    <w:rsid w:val="001E7105"/>
    <w:rsid w:val="001F796A"/>
    <w:rsid w:val="00201815"/>
    <w:rsid w:val="00205A01"/>
    <w:rsid w:val="0021163B"/>
    <w:rsid w:val="00211C9B"/>
    <w:rsid w:val="00212920"/>
    <w:rsid w:val="002140A1"/>
    <w:rsid w:val="0022108C"/>
    <w:rsid w:val="0022119B"/>
    <w:rsid w:val="00227BFB"/>
    <w:rsid w:val="002405CC"/>
    <w:rsid w:val="00244A4B"/>
    <w:rsid w:val="00246884"/>
    <w:rsid w:val="00253098"/>
    <w:rsid w:val="002540D4"/>
    <w:rsid w:val="00254D03"/>
    <w:rsid w:val="002576E9"/>
    <w:rsid w:val="00257EE5"/>
    <w:rsid w:val="002641D2"/>
    <w:rsid w:val="00266A37"/>
    <w:rsid w:val="002738CE"/>
    <w:rsid w:val="00283544"/>
    <w:rsid w:val="0029454D"/>
    <w:rsid w:val="002A0527"/>
    <w:rsid w:val="002A2AF5"/>
    <w:rsid w:val="002A4075"/>
    <w:rsid w:val="002B6FDB"/>
    <w:rsid w:val="002C19A4"/>
    <w:rsid w:val="002C4EE6"/>
    <w:rsid w:val="002D1C47"/>
    <w:rsid w:val="002D3270"/>
    <w:rsid w:val="002E08D7"/>
    <w:rsid w:val="002E098C"/>
    <w:rsid w:val="002E4649"/>
    <w:rsid w:val="002E7504"/>
    <w:rsid w:val="002F0DEA"/>
    <w:rsid w:val="00304968"/>
    <w:rsid w:val="0032729A"/>
    <w:rsid w:val="003278E7"/>
    <w:rsid w:val="003346C6"/>
    <w:rsid w:val="00336125"/>
    <w:rsid w:val="00336435"/>
    <w:rsid w:val="003405D1"/>
    <w:rsid w:val="00341173"/>
    <w:rsid w:val="003440E7"/>
    <w:rsid w:val="0034660A"/>
    <w:rsid w:val="003522DB"/>
    <w:rsid w:val="003550FB"/>
    <w:rsid w:val="00355666"/>
    <w:rsid w:val="00356082"/>
    <w:rsid w:val="00356D32"/>
    <w:rsid w:val="003577FA"/>
    <w:rsid w:val="003629D1"/>
    <w:rsid w:val="00364451"/>
    <w:rsid w:val="003654AC"/>
    <w:rsid w:val="0036761B"/>
    <w:rsid w:val="00367975"/>
    <w:rsid w:val="003703DF"/>
    <w:rsid w:val="00370661"/>
    <w:rsid w:val="0037397D"/>
    <w:rsid w:val="003778D0"/>
    <w:rsid w:val="00382E63"/>
    <w:rsid w:val="0039288D"/>
    <w:rsid w:val="00394A6B"/>
    <w:rsid w:val="00396B22"/>
    <w:rsid w:val="003A03FB"/>
    <w:rsid w:val="003A04F0"/>
    <w:rsid w:val="003A5ABC"/>
    <w:rsid w:val="003B1B20"/>
    <w:rsid w:val="003B1C6A"/>
    <w:rsid w:val="003B30EC"/>
    <w:rsid w:val="003B3EF7"/>
    <w:rsid w:val="003B47BA"/>
    <w:rsid w:val="003B6309"/>
    <w:rsid w:val="003B68F2"/>
    <w:rsid w:val="003C047C"/>
    <w:rsid w:val="003C2562"/>
    <w:rsid w:val="003C3896"/>
    <w:rsid w:val="003C4384"/>
    <w:rsid w:val="003D117F"/>
    <w:rsid w:val="003D1D38"/>
    <w:rsid w:val="003D36D6"/>
    <w:rsid w:val="003E02FC"/>
    <w:rsid w:val="003E1199"/>
    <w:rsid w:val="003E2A3D"/>
    <w:rsid w:val="003E43BC"/>
    <w:rsid w:val="003E7142"/>
    <w:rsid w:val="003F0D61"/>
    <w:rsid w:val="003F1B66"/>
    <w:rsid w:val="003F6CC8"/>
    <w:rsid w:val="003F770B"/>
    <w:rsid w:val="00401689"/>
    <w:rsid w:val="0040176E"/>
    <w:rsid w:val="004043B0"/>
    <w:rsid w:val="004066FD"/>
    <w:rsid w:val="00411FEA"/>
    <w:rsid w:val="00412A3F"/>
    <w:rsid w:val="004278A9"/>
    <w:rsid w:val="004302C9"/>
    <w:rsid w:val="00430A73"/>
    <w:rsid w:val="00434CF7"/>
    <w:rsid w:val="00435216"/>
    <w:rsid w:val="00436CED"/>
    <w:rsid w:val="004416A6"/>
    <w:rsid w:val="004447BB"/>
    <w:rsid w:val="00456763"/>
    <w:rsid w:val="00463447"/>
    <w:rsid w:val="00463512"/>
    <w:rsid w:val="00464217"/>
    <w:rsid w:val="004726C2"/>
    <w:rsid w:val="00480F9E"/>
    <w:rsid w:val="004822F7"/>
    <w:rsid w:val="00491122"/>
    <w:rsid w:val="004935D8"/>
    <w:rsid w:val="004963CE"/>
    <w:rsid w:val="004A210F"/>
    <w:rsid w:val="004A24E1"/>
    <w:rsid w:val="004A6F7B"/>
    <w:rsid w:val="004A76C6"/>
    <w:rsid w:val="004B0846"/>
    <w:rsid w:val="004B098E"/>
    <w:rsid w:val="004B5ACA"/>
    <w:rsid w:val="004B752B"/>
    <w:rsid w:val="004C5BE1"/>
    <w:rsid w:val="004C6E63"/>
    <w:rsid w:val="004D465A"/>
    <w:rsid w:val="004D497C"/>
    <w:rsid w:val="004D4F02"/>
    <w:rsid w:val="004D5A5C"/>
    <w:rsid w:val="004E38C2"/>
    <w:rsid w:val="004E4393"/>
    <w:rsid w:val="004E62DF"/>
    <w:rsid w:val="004F3D16"/>
    <w:rsid w:val="004F443F"/>
    <w:rsid w:val="00510942"/>
    <w:rsid w:val="0051364C"/>
    <w:rsid w:val="0051472E"/>
    <w:rsid w:val="005233AB"/>
    <w:rsid w:val="00527488"/>
    <w:rsid w:val="005301C1"/>
    <w:rsid w:val="00543EA1"/>
    <w:rsid w:val="00545785"/>
    <w:rsid w:val="00550486"/>
    <w:rsid w:val="0055378B"/>
    <w:rsid w:val="0057149B"/>
    <w:rsid w:val="00571E17"/>
    <w:rsid w:val="005878FA"/>
    <w:rsid w:val="00591D44"/>
    <w:rsid w:val="0059229E"/>
    <w:rsid w:val="00592FDE"/>
    <w:rsid w:val="00597FAB"/>
    <w:rsid w:val="005A08A2"/>
    <w:rsid w:val="005A5804"/>
    <w:rsid w:val="005B1D2A"/>
    <w:rsid w:val="005B2DDF"/>
    <w:rsid w:val="005B438D"/>
    <w:rsid w:val="005B5DD1"/>
    <w:rsid w:val="005C103A"/>
    <w:rsid w:val="005C19B3"/>
    <w:rsid w:val="005C4A30"/>
    <w:rsid w:val="005D07BB"/>
    <w:rsid w:val="005D69A8"/>
    <w:rsid w:val="005E1796"/>
    <w:rsid w:val="005E4350"/>
    <w:rsid w:val="005E573B"/>
    <w:rsid w:val="005E5F0C"/>
    <w:rsid w:val="005E77E8"/>
    <w:rsid w:val="005F152B"/>
    <w:rsid w:val="005F36C5"/>
    <w:rsid w:val="006009B9"/>
    <w:rsid w:val="00603BF9"/>
    <w:rsid w:val="00605993"/>
    <w:rsid w:val="00611FA2"/>
    <w:rsid w:val="0061487F"/>
    <w:rsid w:val="006155C0"/>
    <w:rsid w:val="0061618A"/>
    <w:rsid w:val="006233D9"/>
    <w:rsid w:val="0062438A"/>
    <w:rsid w:val="00627FCC"/>
    <w:rsid w:val="006330F4"/>
    <w:rsid w:val="00636314"/>
    <w:rsid w:val="00637AE6"/>
    <w:rsid w:val="006410DC"/>
    <w:rsid w:val="00645F12"/>
    <w:rsid w:val="00645F5A"/>
    <w:rsid w:val="0065531A"/>
    <w:rsid w:val="00655FC5"/>
    <w:rsid w:val="0066011E"/>
    <w:rsid w:val="0066023D"/>
    <w:rsid w:val="00660BE7"/>
    <w:rsid w:val="0066658A"/>
    <w:rsid w:val="006723C4"/>
    <w:rsid w:val="00674209"/>
    <w:rsid w:val="0069154B"/>
    <w:rsid w:val="0069611F"/>
    <w:rsid w:val="00696DD7"/>
    <w:rsid w:val="0069748E"/>
    <w:rsid w:val="006A231B"/>
    <w:rsid w:val="006A3C32"/>
    <w:rsid w:val="006B1C08"/>
    <w:rsid w:val="006B4E94"/>
    <w:rsid w:val="006C4157"/>
    <w:rsid w:val="006C6D42"/>
    <w:rsid w:val="006D15A9"/>
    <w:rsid w:val="006D545D"/>
    <w:rsid w:val="006D63AB"/>
    <w:rsid w:val="006E08C7"/>
    <w:rsid w:val="006E2124"/>
    <w:rsid w:val="006E760D"/>
    <w:rsid w:val="006F139C"/>
    <w:rsid w:val="006F33A5"/>
    <w:rsid w:val="006F3556"/>
    <w:rsid w:val="006F405B"/>
    <w:rsid w:val="006F6458"/>
    <w:rsid w:val="00710AD9"/>
    <w:rsid w:val="00711E34"/>
    <w:rsid w:val="007143FE"/>
    <w:rsid w:val="00714C91"/>
    <w:rsid w:val="007239BE"/>
    <w:rsid w:val="00724B1C"/>
    <w:rsid w:val="007458AB"/>
    <w:rsid w:val="0076700A"/>
    <w:rsid w:val="00771EEF"/>
    <w:rsid w:val="00772AF7"/>
    <w:rsid w:val="0077374E"/>
    <w:rsid w:val="0077389F"/>
    <w:rsid w:val="00775604"/>
    <w:rsid w:val="00776E41"/>
    <w:rsid w:val="00776E9E"/>
    <w:rsid w:val="00782280"/>
    <w:rsid w:val="00784ECC"/>
    <w:rsid w:val="00794D56"/>
    <w:rsid w:val="007951AE"/>
    <w:rsid w:val="00795409"/>
    <w:rsid w:val="007A45F2"/>
    <w:rsid w:val="007A78DB"/>
    <w:rsid w:val="007B1068"/>
    <w:rsid w:val="007B1C75"/>
    <w:rsid w:val="007B39A8"/>
    <w:rsid w:val="007B3CCF"/>
    <w:rsid w:val="007B4A5B"/>
    <w:rsid w:val="007C0F10"/>
    <w:rsid w:val="007C24FD"/>
    <w:rsid w:val="007C62E3"/>
    <w:rsid w:val="007D51EF"/>
    <w:rsid w:val="007E039F"/>
    <w:rsid w:val="007E11DD"/>
    <w:rsid w:val="007E1FB2"/>
    <w:rsid w:val="007E40A9"/>
    <w:rsid w:val="007E4C52"/>
    <w:rsid w:val="007E6BF3"/>
    <w:rsid w:val="007F0FA2"/>
    <w:rsid w:val="007F27C9"/>
    <w:rsid w:val="007F7AD5"/>
    <w:rsid w:val="00806C19"/>
    <w:rsid w:val="00810AD4"/>
    <w:rsid w:val="00814637"/>
    <w:rsid w:val="00827475"/>
    <w:rsid w:val="008310CD"/>
    <w:rsid w:val="00831C87"/>
    <w:rsid w:val="00850E44"/>
    <w:rsid w:val="00857625"/>
    <w:rsid w:val="00860EE1"/>
    <w:rsid w:val="008611F4"/>
    <w:rsid w:val="008663DE"/>
    <w:rsid w:val="00866BBC"/>
    <w:rsid w:val="00870A30"/>
    <w:rsid w:val="008720B3"/>
    <w:rsid w:val="008756C2"/>
    <w:rsid w:val="008819D5"/>
    <w:rsid w:val="00882614"/>
    <w:rsid w:val="00883B2B"/>
    <w:rsid w:val="00885843"/>
    <w:rsid w:val="00891FFD"/>
    <w:rsid w:val="0089788D"/>
    <w:rsid w:val="008A2C34"/>
    <w:rsid w:val="008A3DA3"/>
    <w:rsid w:val="008B135E"/>
    <w:rsid w:val="008B78CD"/>
    <w:rsid w:val="008C1993"/>
    <w:rsid w:val="008C41F1"/>
    <w:rsid w:val="008D5194"/>
    <w:rsid w:val="008D58ED"/>
    <w:rsid w:val="008E31DE"/>
    <w:rsid w:val="008E3671"/>
    <w:rsid w:val="008E3883"/>
    <w:rsid w:val="008E6F70"/>
    <w:rsid w:val="008E7330"/>
    <w:rsid w:val="008E73A8"/>
    <w:rsid w:val="008F5F92"/>
    <w:rsid w:val="0090400D"/>
    <w:rsid w:val="00912D39"/>
    <w:rsid w:val="00920C4C"/>
    <w:rsid w:val="00926BE6"/>
    <w:rsid w:val="009304CE"/>
    <w:rsid w:val="00932224"/>
    <w:rsid w:val="00941748"/>
    <w:rsid w:val="00943CFA"/>
    <w:rsid w:val="009461B3"/>
    <w:rsid w:val="00955282"/>
    <w:rsid w:val="009556AB"/>
    <w:rsid w:val="00960DA8"/>
    <w:rsid w:val="0097748E"/>
    <w:rsid w:val="00980B6F"/>
    <w:rsid w:val="00981BD2"/>
    <w:rsid w:val="009845EB"/>
    <w:rsid w:val="00985DB0"/>
    <w:rsid w:val="00985E73"/>
    <w:rsid w:val="00990C6B"/>
    <w:rsid w:val="0099227D"/>
    <w:rsid w:val="009A2257"/>
    <w:rsid w:val="009A2DFF"/>
    <w:rsid w:val="009A3D2D"/>
    <w:rsid w:val="009B3532"/>
    <w:rsid w:val="009B3B32"/>
    <w:rsid w:val="009B61E3"/>
    <w:rsid w:val="009C0C64"/>
    <w:rsid w:val="009C404B"/>
    <w:rsid w:val="009C4B69"/>
    <w:rsid w:val="009C4C93"/>
    <w:rsid w:val="009C4D55"/>
    <w:rsid w:val="009D2853"/>
    <w:rsid w:val="009D4291"/>
    <w:rsid w:val="009E186A"/>
    <w:rsid w:val="009E6FA7"/>
    <w:rsid w:val="009E76AC"/>
    <w:rsid w:val="009F1B83"/>
    <w:rsid w:val="00A00B15"/>
    <w:rsid w:val="00A02A48"/>
    <w:rsid w:val="00A03D9D"/>
    <w:rsid w:val="00A04157"/>
    <w:rsid w:val="00A17658"/>
    <w:rsid w:val="00A22861"/>
    <w:rsid w:val="00A27DF0"/>
    <w:rsid w:val="00A32D37"/>
    <w:rsid w:val="00A358C5"/>
    <w:rsid w:val="00A42A92"/>
    <w:rsid w:val="00A43478"/>
    <w:rsid w:val="00A500A7"/>
    <w:rsid w:val="00A50C06"/>
    <w:rsid w:val="00A53307"/>
    <w:rsid w:val="00A54457"/>
    <w:rsid w:val="00A63ABD"/>
    <w:rsid w:val="00A66C85"/>
    <w:rsid w:val="00A703A4"/>
    <w:rsid w:val="00A71957"/>
    <w:rsid w:val="00A7235D"/>
    <w:rsid w:val="00A737E1"/>
    <w:rsid w:val="00A75A13"/>
    <w:rsid w:val="00A8067C"/>
    <w:rsid w:val="00A811E4"/>
    <w:rsid w:val="00A84E35"/>
    <w:rsid w:val="00A9115C"/>
    <w:rsid w:val="00A91E5F"/>
    <w:rsid w:val="00A93AF9"/>
    <w:rsid w:val="00A945BC"/>
    <w:rsid w:val="00A963CE"/>
    <w:rsid w:val="00A9643C"/>
    <w:rsid w:val="00A96C11"/>
    <w:rsid w:val="00AB4539"/>
    <w:rsid w:val="00AC3A4E"/>
    <w:rsid w:val="00AC6EF8"/>
    <w:rsid w:val="00AD17B2"/>
    <w:rsid w:val="00AF01D8"/>
    <w:rsid w:val="00AF406B"/>
    <w:rsid w:val="00B05BE3"/>
    <w:rsid w:val="00B11020"/>
    <w:rsid w:val="00B12261"/>
    <w:rsid w:val="00B132BC"/>
    <w:rsid w:val="00B17647"/>
    <w:rsid w:val="00B201F9"/>
    <w:rsid w:val="00B216FD"/>
    <w:rsid w:val="00B27131"/>
    <w:rsid w:val="00B35D91"/>
    <w:rsid w:val="00B43706"/>
    <w:rsid w:val="00B43734"/>
    <w:rsid w:val="00B43D44"/>
    <w:rsid w:val="00B43EAA"/>
    <w:rsid w:val="00B44373"/>
    <w:rsid w:val="00B44EB7"/>
    <w:rsid w:val="00B51016"/>
    <w:rsid w:val="00B51AAF"/>
    <w:rsid w:val="00B52E5A"/>
    <w:rsid w:val="00B52EF3"/>
    <w:rsid w:val="00B56489"/>
    <w:rsid w:val="00B573FE"/>
    <w:rsid w:val="00B61ADC"/>
    <w:rsid w:val="00B61AE5"/>
    <w:rsid w:val="00B753C5"/>
    <w:rsid w:val="00B760E1"/>
    <w:rsid w:val="00B77447"/>
    <w:rsid w:val="00B805E5"/>
    <w:rsid w:val="00B85C77"/>
    <w:rsid w:val="00B876A5"/>
    <w:rsid w:val="00B95131"/>
    <w:rsid w:val="00B95616"/>
    <w:rsid w:val="00B95E97"/>
    <w:rsid w:val="00BA0264"/>
    <w:rsid w:val="00BA2888"/>
    <w:rsid w:val="00BA451E"/>
    <w:rsid w:val="00BA6932"/>
    <w:rsid w:val="00BB573B"/>
    <w:rsid w:val="00BC1494"/>
    <w:rsid w:val="00BC2992"/>
    <w:rsid w:val="00BC3A08"/>
    <w:rsid w:val="00BD6799"/>
    <w:rsid w:val="00BE1154"/>
    <w:rsid w:val="00BE1B19"/>
    <w:rsid w:val="00BE1BF8"/>
    <w:rsid w:val="00BE1FEB"/>
    <w:rsid w:val="00BF02D2"/>
    <w:rsid w:val="00BF6E86"/>
    <w:rsid w:val="00C05E83"/>
    <w:rsid w:val="00C11161"/>
    <w:rsid w:val="00C17AC5"/>
    <w:rsid w:val="00C20F07"/>
    <w:rsid w:val="00C2279C"/>
    <w:rsid w:val="00C2375F"/>
    <w:rsid w:val="00C259C3"/>
    <w:rsid w:val="00C25F09"/>
    <w:rsid w:val="00C2711B"/>
    <w:rsid w:val="00C31029"/>
    <w:rsid w:val="00C32A4D"/>
    <w:rsid w:val="00C32D74"/>
    <w:rsid w:val="00C33940"/>
    <w:rsid w:val="00C36490"/>
    <w:rsid w:val="00C41CEA"/>
    <w:rsid w:val="00C43E91"/>
    <w:rsid w:val="00C50C39"/>
    <w:rsid w:val="00C56764"/>
    <w:rsid w:val="00C605F5"/>
    <w:rsid w:val="00C6231F"/>
    <w:rsid w:val="00C67942"/>
    <w:rsid w:val="00C7087E"/>
    <w:rsid w:val="00C74560"/>
    <w:rsid w:val="00C75802"/>
    <w:rsid w:val="00C764A6"/>
    <w:rsid w:val="00C82960"/>
    <w:rsid w:val="00C87F85"/>
    <w:rsid w:val="00C9139A"/>
    <w:rsid w:val="00C93254"/>
    <w:rsid w:val="00C94F1C"/>
    <w:rsid w:val="00C96FD7"/>
    <w:rsid w:val="00CA0995"/>
    <w:rsid w:val="00CA2CE7"/>
    <w:rsid w:val="00CA4D3C"/>
    <w:rsid w:val="00CA6442"/>
    <w:rsid w:val="00CB2ABA"/>
    <w:rsid w:val="00CB38EF"/>
    <w:rsid w:val="00CC7D80"/>
    <w:rsid w:val="00CD26B3"/>
    <w:rsid w:val="00CD498E"/>
    <w:rsid w:val="00CE1200"/>
    <w:rsid w:val="00CE4119"/>
    <w:rsid w:val="00CF134A"/>
    <w:rsid w:val="00CF3546"/>
    <w:rsid w:val="00CF4428"/>
    <w:rsid w:val="00CF5AFB"/>
    <w:rsid w:val="00CF6B27"/>
    <w:rsid w:val="00CF6BF2"/>
    <w:rsid w:val="00D00224"/>
    <w:rsid w:val="00D02CBE"/>
    <w:rsid w:val="00D0335E"/>
    <w:rsid w:val="00D03FEC"/>
    <w:rsid w:val="00D0490F"/>
    <w:rsid w:val="00D04A07"/>
    <w:rsid w:val="00D051F0"/>
    <w:rsid w:val="00D27747"/>
    <w:rsid w:val="00D327F3"/>
    <w:rsid w:val="00D350C5"/>
    <w:rsid w:val="00D3782E"/>
    <w:rsid w:val="00D45092"/>
    <w:rsid w:val="00D46E21"/>
    <w:rsid w:val="00D5777B"/>
    <w:rsid w:val="00D615B3"/>
    <w:rsid w:val="00D64B55"/>
    <w:rsid w:val="00D71024"/>
    <w:rsid w:val="00D71E76"/>
    <w:rsid w:val="00D83B6F"/>
    <w:rsid w:val="00D85096"/>
    <w:rsid w:val="00D9283D"/>
    <w:rsid w:val="00D92EFE"/>
    <w:rsid w:val="00D94F81"/>
    <w:rsid w:val="00DA03E9"/>
    <w:rsid w:val="00DA1460"/>
    <w:rsid w:val="00DA3E4D"/>
    <w:rsid w:val="00DA3EF6"/>
    <w:rsid w:val="00DA7477"/>
    <w:rsid w:val="00DB74E7"/>
    <w:rsid w:val="00DB794E"/>
    <w:rsid w:val="00DC376C"/>
    <w:rsid w:val="00DC3905"/>
    <w:rsid w:val="00DC4F2D"/>
    <w:rsid w:val="00DC6277"/>
    <w:rsid w:val="00DC69DF"/>
    <w:rsid w:val="00DC7C10"/>
    <w:rsid w:val="00DD0F28"/>
    <w:rsid w:val="00DD1A53"/>
    <w:rsid w:val="00DD26AC"/>
    <w:rsid w:val="00DE1CA8"/>
    <w:rsid w:val="00DE48B4"/>
    <w:rsid w:val="00DF1B8A"/>
    <w:rsid w:val="00DF5AD9"/>
    <w:rsid w:val="00E06FA6"/>
    <w:rsid w:val="00E07CA4"/>
    <w:rsid w:val="00E10979"/>
    <w:rsid w:val="00E20FD3"/>
    <w:rsid w:val="00E2163E"/>
    <w:rsid w:val="00E22A91"/>
    <w:rsid w:val="00E244C9"/>
    <w:rsid w:val="00E26542"/>
    <w:rsid w:val="00E26C7B"/>
    <w:rsid w:val="00E300D8"/>
    <w:rsid w:val="00E321EE"/>
    <w:rsid w:val="00E354AF"/>
    <w:rsid w:val="00E41AC4"/>
    <w:rsid w:val="00E443FD"/>
    <w:rsid w:val="00E45A70"/>
    <w:rsid w:val="00E566E9"/>
    <w:rsid w:val="00E61E17"/>
    <w:rsid w:val="00E73D9F"/>
    <w:rsid w:val="00E74191"/>
    <w:rsid w:val="00E74B44"/>
    <w:rsid w:val="00E75E7A"/>
    <w:rsid w:val="00E814CD"/>
    <w:rsid w:val="00E849F6"/>
    <w:rsid w:val="00E9610A"/>
    <w:rsid w:val="00E97074"/>
    <w:rsid w:val="00EA2F84"/>
    <w:rsid w:val="00EA6436"/>
    <w:rsid w:val="00EB3C33"/>
    <w:rsid w:val="00EB617C"/>
    <w:rsid w:val="00EC1E95"/>
    <w:rsid w:val="00EC5051"/>
    <w:rsid w:val="00ED617F"/>
    <w:rsid w:val="00EE22D4"/>
    <w:rsid w:val="00EE2FF9"/>
    <w:rsid w:val="00EE31D9"/>
    <w:rsid w:val="00EF13F3"/>
    <w:rsid w:val="00EF386F"/>
    <w:rsid w:val="00EF79AA"/>
    <w:rsid w:val="00F00B9E"/>
    <w:rsid w:val="00F03AFA"/>
    <w:rsid w:val="00F054AA"/>
    <w:rsid w:val="00F126A2"/>
    <w:rsid w:val="00F12786"/>
    <w:rsid w:val="00F21051"/>
    <w:rsid w:val="00F22D7E"/>
    <w:rsid w:val="00F27C83"/>
    <w:rsid w:val="00F3007B"/>
    <w:rsid w:val="00F336B0"/>
    <w:rsid w:val="00F44C99"/>
    <w:rsid w:val="00F477AC"/>
    <w:rsid w:val="00F50EBE"/>
    <w:rsid w:val="00F5606B"/>
    <w:rsid w:val="00F62D4D"/>
    <w:rsid w:val="00F6383C"/>
    <w:rsid w:val="00F64DE8"/>
    <w:rsid w:val="00F666F8"/>
    <w:rsid w:val="00F72348"/>
    <w:rsid w:val="00F73E0E"/>
    <w:rsid w:val="00F86C8E"/>
    <w:rsid w:val="00F92C5A"/>
    <w:rsid w:val="00F953B5"/>
    <w:rsid w:val="00F96EA1"/>
    <w:rsid w:val="00FA4ADC"/>
    <w:rsid w:val="00FB2C8D"/>
    <w:rsid w:val="00FB6688"/>
    <w:rsid w:val="00FB77B7"/>
    <w:rsid w:val="00FC1B0F"/>
    <w:rsid w:val="00FC5439"/>
    <w:rsid w:val="00FD37C9"/>
    <w:rsid w:val="00FD4373"/>
    <w:rsid w:val="00FD5CAE"/>
    <w:rsid w:val="00FE0172"/>
    <w:rsid w:val="00FE0C04"/>
    <w:rsid w:val="00FE7788"/>
    <w:rsid w:val="00FF0F75"/>
    <w:rsid w:val="00FF645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D2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it-IT" w:eastAsia="en-US" w:bidi="ar-SA"/>
      </w:rPr>
    </w:rPrDefault>
    <w:pPrDefault>
      <w:pPr>
        <w:spacing w:before="240" w:line="264"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BF2"/>
    <w:rPr>
      <w:rFonts w:eastAsia="Times New Roman" w:cs="Times New Roman"/>
    </w:rPr>
  </w:style>
  <w:style w:type="paragraph" w:styleId="Heading1">
    <w:name w:val="heading 1"/>
    <w:next w:val="L1Para"/>
    <w:link w:val="Heading1Char"/>
    <w:uiPriority w:val="1"/>
    <w:qFormat/>
    <w:rsid w:val="00F27C83"/>
    <w:pPr>
      <w:numPr>
        <w:numId w:val="4"/>
      </w:numPr>
      <w:outlineLvl w:val="0"/>
    </w:pPr>
    <w:rPr>
      <w:rFonts w:eastAsiaTheme="majorEastAsia" w:cstheme="majorBidi"/>
      <w:bCs/>
      <w:szCs w:val="28"/>
    </w:rPr>
  </w:style>
  <w:style w:type="paragraph" w:styleId="Heading2">
    <w:name w:val="heading 2"/>
    <w:next w:val="L2Para"/>
    <w:link w:val="Heading2Char"/>
    <w:uiPriority w:val="1"/>
    <w:qFormat/>
    <w:rsid w:val="00F27C83"/>
    <w:pPr>
      <w:numPr>
        <w:ilvl w:val="1"/>
        <w:numId w:val="4"/>
      </w:numPr>
      <w:outlineLvl w:val="1"/>
    </w:pPr>
    <w:rPr>
      <w:rFonts w:eastAsiaTheme="majorEastAsia" w:cstheme="majorBidi"/>
      <w:bCs/>
      <w:szCs w:val="26"/>
    </w:rPr>
  </w:style>
  <w:style w:type="paragraph" w:styleId="Heading3">
    <w:name w:val="heading 3"/>
    <w:next w:val="L3Para"/>
    <w:link w:val="Heading3Char"/>
    <w:uiPriority w:val="1"/>
    <w:qFormat/>
    <w:rsid w:val="00F27C83"/>
    <w:pPr>
      <w:numPr>
        <w:ilvl w:val="2"/>
        <w:numId w:val="4"/>
      </w:numPr>
      <w:outlineLvl w:val="2"/>
    </w:pPr>
    <w:rPr>
      <w:rFonts w:eastAsiaTheme="majorEastAsia" w:cstheme="majorBidi"/>
      <w:bCs/>
    </w:rPr>
  </w:style>
  <w:style w:type="paragraph" w:styleId="Heading4">
    <w:name w:val="heading 4"/>
    <w:next w:val="L4Para"/>
    <w:link w:val="Heading4Char"/>
    <w:uiPriority w:val="1"/>
    <w:qFormat/>
    <w:rsid w:val="009B61E3"/>
    <w:pPr>
      <w:numPr>
        <w:ilvl w:val="3"/>
        <w:numId w:val="4"/>
      </w:numPr>
      <w:spacing w:before="200"/>
      <w:outlineLvl w:val="3"/>
    </w:pPr>
    <w:rPr>
      <w:rFonts w:eastAsiaTheme="majorEastAsia" w:cstheme="majorBidi"/>
      <w:bCs/>
      <w:iCs/>
    </w:rPr>
  </w:style>
  <w:style w:type="paragraph" w:styleId="Heading5">
    <w:name w:val="heading 5"/>
    <w:next w:val="L5Para"/>
    <w:link w:val="Heading5Char"/>
    <w:uiPriority w:val="1"/>
    <w:qFormat/>
    <w:rsid w:val="00F27C83"/>
    <w:pPr>
      <w:numPr>
        <w:ilvl w:val="4"/>
        <w:numId w:val="4"/>
      </w:numPr>
      <w:outlineLvl w:val="4"/>
    </w:pPr>
    <w:rPr>
      <w:rFonts w:eastAsiaTheme="majorEastAsia" w:cstheme="majorBidi"/>
    </w:rPr>
  </w:style>
  <w:style w:type="paragraph" w:styleId="Heading6">
    <w:name w:val="heading 6"/>
    <w:basedOn w:val="Normal"/>
    <w:next w:val="Normal"/>
    <w:link w:val="Heading6Char"/>
    <w:uiPriority w:val="10"/>
    <w:semiHidden/>
    <w:qFormat/>
    <w:rsid w:val="00D0490F"/>
    <w:pPr>
      <w:keepLines/>
      <w:outlineLvl w:val="5"/>
    </w:pPr>
    <w:rPr>
      <w:rFonts w:eastAsiaTheme="majorEastAsia" w:cstheme="majorBidi"/>
      <w:iCs/>
    </w:rPr>
  </w:style>
  <w:style w:type="paragraph" w:styleId="Heading7">
    <w:name w:val="heading 7"/>
    <w:basedOn w:val="Normal"/>
    <w:next w:val="Normal"/>
    <w:link w:val="Heading7Char"/>
    <w:uiPriority w:val="10"/>
    <w:semiHidden/>
    <w:qFormat/>
    <w:rsid w:val="00E74B44"/>
    <w:pPr>
      <w:keepLines/>
      <w:outlineLvl w:val="6"/>
    </w:pPr>
    <w:rPr>
      <w:rFonts w:eastAsiaTheme="majorEastAsia" w:cstheme="majorBidi"/>
      <w:iCs/>
    </w:rPr>
  </w:style>
  <w:style w:type="paragraph" w:styleId="Heading8">
    <w:name w:val="heading 8"/>
    <w:basedOn w:val="Normal"/>
    <w:next w:val="Normal"/>
    <w:link w:val="Heading8Char"/>
    <w:uiPriority w:val="10"/>
    <w:semiHidden/>
    <w:qFormat/>
    <w:rsid w:val="00E74B44"/>
    <w:pPr>
      <w:keepLines/>
      <w:outlineLvl w:val="7"/>
    </w:pPr>
    <w:rPr>
      <w:rFonts w:eastAsiaTheme="majorEastAsia" w:cstheme="majorBidi"/>
    </w:rPr>
  </w:style>
  <w:style w:type="paragraph" w:styleId="Heading9">
    <w:name w:val="heading 9"/>
    <w:basedOn w:val="Normal"/>
    <w:next w:val="Normal"/>
    <w:link w:val="Heading9Char"/>
    <w:uiPriority w:val="10"/>
    <w:semiHidden/>
    <w:qFormat/>
    <w:rsid w:val="00E74B44"/>
    <w:pPr>
      <w:keepLines/>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Para">
    <w:name w:val="L1Para"/>
    <w:next w:val="Normal"/>
    <w:uiPriority w:val="2"/>
    <w:qFormat/>
    <w:rsid w:val="00F27C83"/>
    <w:pPr>
      <w:ind w:left="720"/>
    </w:pPr>
  </w:style>
  <w:style w:type="paragraph" w:customStyle="1" w:styleId="L2Para">
    <w:name w:val="L2Para"/>
    <w:next w:val="Normal"/>
    <w:uiPriority w:val="2"/>
    <w:qFormat/>
    <w:rsid w:val="00F27C83"/>
    <w:pPr>
      <w:ind w:left="720"/>
    </w:pPr>
  </w:style>
  <w:style w:type="paragraph" w:customStyle="1" w:styleId="L3Para">
    <w:name w:val="L3Para"/>
    <w:next w:val="Normal"/>
    <w:uiPriority w:val="2"/>
    <w:qFormat/>
    <w:rsid w:val="00F27C83"/>
    <w:pPr>
      <w:ind w:left="1644"/>
    </w:pPr>
  </w:style>
  <w:style w:type="character" w:customStyle="1" w:styleId="Heading1Char">
    <w:name w:val="Heading 1 Char"/>
    <w:basedOn w:val="DefaultParagraphFont"/>
    <w:link w:val="Heading1"/>
    <w:uiPriority w:val="1"/>
    <w:rsid w:val="00F27C83"/>
    <w:rPr>
      <w:rFonts w:eastAsiaTheme="majorEastAsia" w:cstheme="majorBidi"/>
      <w:bCs/>
      <w:szCs w:val="28"/>
    </w:rPr>
  </w:style>
  <w:style w:type="character" w:customStyle="1" w:styleId="Heading2Char">
    <w:name w:val="Heading 2 Char"/>
    <w:basedOn w:val="DefaultParagraphFont"/>
    <w:link w:val="Heading2"/>
    <w:uiPriority w:val="1"/>
    <w:rsid w:val="00F27C83"/>
    <w:rPr>
      <w:rFonts w:eastAsiaTheme="majorEastAsia" w:cstheme="majorBidi"/>
      <w:bCs/>
      <w:szCs w:val="26"/>
    </w:rPr>
  </w:style>
  <w:style w:type="paragraph" w:customStyle="1" w:styleId="L4Para">
    <w:name w:val="L4Para"/>
    <w:next w:val="Normal"/>
    <w:uiPriority w:val="2"/>
    <w:qFormat/>
    <w:rsid w:val="00F27C83"/>
    <w:pPr>
      <w:ind w:left="2160"/>
    </w:pPr>
  </w:style>
  <w:style w:type="character" w:customStyle="1" w:styleId="Heading3Char">
    <w:name w:val="Heading 3 Char"/>
    <w:basedOn w:val="DefaultParagraphFont"/>
    <w:link w:val="Heading3"/>
    <w:uiPriority w:val="1"/>
    <w:rsid w:val="00F27C83"/>
    <w:rPr>
      <w:rFonts w:eastAsiaTheme="majorEastAsia" w:cstheme="majorBidi"/>
      <w:bCs/>
    </w:rPr>
  </w:style>
  <w:style w:type="character" w:customStyle="1" w:styleId="Heading4Char">
    <w:name w:val="Heading 4 Char"/>
    <w:basedOn w:val="DefaultParagraphFont"/>
    <w:link w:val="Heading4"/>
    <w:uiPriority w:val="1"/>
    <w:rsid w:val="009B61E3"/>
    <w:rPr>
      <w:rFonts w:eastAsiaTheme="majorEastAsia" w:cstheme="majorBidi"/>
      <w:bCs/>
      <w:iCs/>
    </w:rPr>
  </w:style>
  <w:style w:type="character" w:customStyle="1" w:styleId="Heading5Char">
    <w:name w:val="Heading 5 Char"/>
    <w:basedOn w:val="DefaultParagraphFont"/>
    <w:link w:val="Heading5"/>
    <w:uiPriority w:val="1"/>
    <w:rsid w:val="00F27C83"/>
    <w:rPr>
      <w:rFonts w:eastAsiaTheme="majorEastAsia" w:cstheme="majorBidi"/>
    </w:rPr>
  </w:style>
  <w:style w:type="character" w:customStyle="1" w:styleId="Heading6Char">
    <w:name w:val="Heading 6 Char"/>
    <w:basedOn w:val="DefaultParagraphFont"/>
    <w:link w:val="Heading6"/>
    <w:uiPriority w:val="10"/>
    <w:semiHidden/>
    <w:rsid w:val="00827475"/>
    <w:rPr>
      <w:rFonts w:eastAsiaTheme="majorEastAsia" w:cstheme="majorBidi"/>
      <w:iCs/>
    </w:rPr>
  </w:style>
  <w:style w:type="character" w:customStyle="1" w:styleId="Heading7Char">
    <w:name w:val="Heading 7 Char"/>
    <w:basedOn w:val="DefaultParagraphFont"/>
    <w:link w:val="Heading7"/>
    <w:uiPriority w:val="10"/>
    <w:semiHidden/>
    <w:rsid w:val="00827475"/>
    <w:rPr>
      <w:rFonts w:eastAsiaTheme="majorEastAsia" w:cstheme="majorBidi"/>
      <w:iCs/>
    </w:rPr>
  </w:style>
  <w:style w:type="character" w:customStyle="1" w:styleId="Heading8Char">
    <w:name w:val="Heading 8 Char"/>
    <w:basedOn w:val="DefaultParagraphFont"/>
    <w:link w:val="Heading8"/>
    <w:uiPriority w:val="10"/>
    <w:semiHidden/>
    <w:rsid w:val="00827475"/>
    <w:rPr>
      <w:rFonts w:eastAsiaTheme="majorEastAsia" w:cstheme="majorBidi"/>
    </w:rPr>
  </w:style>
  <w:style w:type="character" w:customStyle="1" w:styleId="Heading9Char">
    <w:name w:val="Heading 9 Char"/>
    <w:basedOn w:val="DefaultParagraphFont"/>
    <w:link w:val="Heading9"/>
    <w:uiPriority w:val="10"/>
    <w:semiHidden/>
    <w:rsid w:val="00827475"/>
    <w:rPr>
      <w:rFonts w:eastAsiaTheme="majorEastAsia" w:cstheme="majorBidi"/>
      <w:iCs/>
    </w:rPr>
  </w:style>
  <w:style w:type="paragraph" w:customStyle="1" w:styleId="L5Para">
    <w:name w:val="L5Para"/>
    <w:next w:val="Normal"/>
    <w:uiPriority w:val="2"/>
    <w:qFormat/>
    <w:rsid w:val="00F27C83"/>
    <w:pPr>
      <w:ind w:left="2880"/>
    </w:pPr>
  </w:style>
  <w:style w:type="table" w:styleId="LightList-Accent1">
    <w:name w:val="Light List Accent 1"/>
    <w:basedOn w:val="TableNormal"/>
    <w:uiPriority w:val="61"/>
    <w:rsid w:val="00AF01D8"/>
    <w:pPr>
      <w:spacing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MediumShading2-Accent1">
    <w:name w:val="Medium Shading 2 Accent 1"/>
    <w:basedOn w:val="TableNormal"/>
    <w:uiPriority w:val="64"/>
    <w:rsid w:val="00AF01D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chedule1">
    <w:name w:val="Schedule 1"/>
    <w:next w:val="ScheduleName"/>
    <w:uiPriority w:val="5"/>
    <w:qFormat/>
    <w:rsid w:val="00E9610A"/>
    <w:pPr>
      <w:pageBreakBefore/>
      <w:numPr>
        <w:numId w:val="5"/>
      </w:numPr>
      <w:spacing w:before="480"/>
      <w:jc w:val="center"/>
      <w:outlineLvl w:val="0"/>
    </w:pPr>
    <w:rPr>
      <w:b/>
      <w:caps/>
    </w:rPr>
  </w:style>
  <w:style w:type="paragraph" w:customStyle="1" w:styleId="Style1">
    <w:name w:val="Style (1)"/>
    <w:uiPriority w:val="3"/>
    <w:qFormat/>
    <w:rsid w:val="00F27C83"/>
    <w:pPr>
      <w:numPr>
        <w:numId w:val="1"/>
      </w:numPr>
    </w:pPr>
  </w:style>
  <w:style w:type="paragraph" w:customStyle="1" w:styleId="Stylei">
    <w:name w:val="Style (i)"/>
    <w:uiPriority w:val="3"/>
    <w:qFormat/>
    <w:rsid w:val="00CC7D80"/>
    <w:pPr>
      <w:numPr>
        <w:numId w:val="2"/>
      </w:numPr>
    </w:pPr>
  </w:style>
  <w:style w:type="paragraph" w:customStyle="1" w:styleId="StyleA0">
    <w:name w:val="Style A"/>
    <w:uiPriority w:val="3"/>
    <w:qFormat/>
    <w:rsid w:val="00F27C83"/>
    <w:pPr>
      <w:numPr>
        <w:numId w:val="3"/>
      </w:numPr>
    </w:pPr>
  </w:style>
  <w:style w:type="table" w:styleId="TableGrid">
    <w:name w:val="Table Grid"/>
    <w:basedOn w:val="TableNormal"/>
    <w:rsid w:val="00435216"/>
    <w:pPr>
      <w:spacing w:before="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rPr>
        <w:rFonts w:ascii="Arial" w:hAnsi="Arial"/>
        <w:b/>
        <w:color w:val="auto"/>
        <w:sz w:val="20"/>
      </w:rPr>
    </w:tblStylePr>
  </w:style>
  <w:style w:type="paragraph" w:styleId="ListParagraph">
    <w:name w:val="List Paragraph"/>
    <w:basedOn w:val="Normal"/>
    <w:uiPriority w:val="99"/>
    <w:semiHidden/>
    <w:qFormat/>
    <w:rsid w:val="00101443"/>
    <w:pPr>
      <w:ind w:left="720"/>
    </w:pPr>
  </w:style>
  <w:style w:type="paragraph" w:styleId="Header">
    <w:name w:val="header"/>
    <w:basedOn w:val="Normal"/>
    <w:link w:val="HeaderChar"/>
    <w:uiPriority w:val="99"/>
    <w:rsid w:val="00827475"/>
    <w:pPr>
      <w:tabs>
        <w:tab w:val="center" w:pos="4513"/>
        <w:tab w:val="right" w:pos="9026"/>
      </w:tabs>
    </w:pPr>
    <w:rPr>
      <w:rFonts w:eastAsiaTheme="minorHAnsi" w:cstheme="minorBidi"/>
    </w:rPr>
  </w:style>
  <w:style w:type="character" w:customStyle="1" w:styleId="HeaderChar">
    <w:name w:val="Header Char"/>
    <w:basedOn w:val="DefaultParagraphFont"/>
    <w:link w:val="Header"/>
    <w:uiPriority w:val="99"/>
    <w:rsid w:val="004726C2"/>
  </w:style>
  <w:style w:type="paragraph" w:styleId="Footer">
    <w:name w:val="footer"/>
    <w:basedOn w:val="Normal"/>
    <w:link w:val="FooterChar"/>
    <w:uiPriority w:val="99"/>
    <w:rsid w:val="00827475"/>
    <w:pPr>
      <w:tabs>
        <w:tab w:val="center" w:pos="4513"/>
        <w:tab w:val="right" w:pos="9026"/>
      </w:tabs>
    </w:pPr>
    <w:rPr>
      <w:rFonts w:eastAsiaTheme="minorHAnsi" w:cstheme="minorBidi"/>
    </w:rPr>
  </w:style>
  <w:style w:type="character" w:customStyle="1" w:styleId="FooterChar">
    <w:name w:val="Footer Char"/>
    <w:basedOn w:val="DefaultParagraphFont"/>
    <w:link w:val="Footer"/>
    <w:uiPriority w:val="99"/>
    <w:rsid w:val="008663DE"/>
  </w:style>
  <w:style w:type="paragraph" w:styleId="NoSpacing">
    <w:name w:val="No Spacing"/>
    <w:link w:val="NoSpacingChar"/>
    <w:uiPriority w:val="13"/>
    <w:semiHidden/>
    <w:qFormat/>
    <w:rsid w:val="00827475"/>
    <w:pPr>
      <w:spacing w:line="240" w:lineRule="auto"/>
      <w:jc w:val="left"/>
    </w:pPr>
    <w:rPr>
      <w:rFonts w:asciiTheme="minorHAnsi" w:eastAsiaTheme="minorEastAsia" w:hAnsiTheme="minorHAnsi"/>
      <w:sz w:val="22"/>
      <w:szCs w:val="22"/>
      <w:lang w:eastAsia="ja-JP"/>
    </w:rPr>
  </w:style>
  <w:style w:type="character" w:customStyle="1" w:styleId="NoSpacingChar">
    <w:name w:val="No Spacing Char"/>
    <w:basedOn w:val="DefaultParagraphFont"/>
    <w:link w:val="NoSpacing"/>
    <w:uiPriority w:val="13"/>
    <w:semiHidden/>
    <w:rsid w:val="00645F12"/>
    <w:rPr>
      <w:rFonts w:asciiTheme="minorHAnsi" w:eastAsiaTheme="minorEastAsia" w:hAnsiTheme="minorHAnsi"/>
      <w:sz w:val="22"/>
      <w:szCs w:val="22"/>
      <w:lang w:val="it-IT" w:eastAsia="ja-JP"/>
    </w:rPr>
  </w:style>
  <w:style w:type="paragraph" w:styleId="BalloonText">
    <w:name w:val="Balloon Text"/>
    <w:basedOn w:val="Normal"/>
    <w:link w:val="BalloonTextChar"/>
    <w:uiPriority w:val="99"/>
    <w:semiHidden/>
    <w:rsid w:val="0082747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663DE"/>
    <w:rPr>
      <w:rFonts w:ascii="Tahoma" w:hAnsi="Tahoma" w:cs="Tahoma"/>
      <w:sz w:val="16"/>
      <w:szCs w:val="16"/>
    </w:rPr>
  </w:style>
  <w:style w:type="paragraph" w:styleId="FootnoteText">
    <w:name w:val="footnote text"/>
    <w:basedOn w:val="Normal"/>
    <w:link w:val="FootnoteTextChar"/>
    <w:uiPriority w:val="99"/>
    <w:rsid w:val="00E354AF"/>
    <w:pPr>
      <w:ind w:left="113" w:hanging="113"/>
    </w:pPr>
    <w:rPr>
      <w:rFonts w:eastAsiaTheme="minorHAnsi" w:cstheme="minorBidi"/>
      <w:i/>
      <w:sz w:val="16"/>
    </w:rPr>
  </w:style>
  <w:style w:type="character" w:customStyle="1" w:styleId="FootnoteTextChar">
    <w:name w:val="Footnote Text Char"/>
    <w:basedOn w:val="DefaultParagraphFont"/>
    <w:link w:val="FootnoteText"/>
    <w:uiPriority w:val="99"/>
    <w:rsid w:val="008663DE"/>
    <w:rPr>
      <w:i/>
      <w:sz w:val="16"/>
    </w:rPr>
  </w:style>
  <w:style w:type="character" w:styleId="FootnoteReference">
    <w:name w:val="footnote reference"/>
    <w:basedOn w:val="DefaultParagraphFont"/>
    <w:uiPriority w:val="99"/>
    <w:rsid w:val="00E9610A"/>
    <w:rPr>
      <w:rFonts w:ascii="Arial" w:hAnsi="Arial"/>
      <w:b/>
      <w:sz w:val="20"/>
      <w:vertAlign w:val="superscript"/>
    </w:rPr>
  </w:style>
  <w:style w:type="paragraph" w:styleId="EndnoteText">
    <w:name w:val="endnote text"/>
    <w:basedOn w:val="Normal"/>
    <w:link w:val="EndnoteTextChar"/>
    <w:uiPriority w:val="99"/>
    <w:semiHidden/>
    <w:rsid w:val="000B495E"/>
    <w:rPr>
      <w:rFonts w:eastAsiaTheme="minorHAnsi" w:cstheme="minorBidi"/>
    </w:rPr>
  </w:style>
  <w:style w:type="character" w:customStyle="1" w:styleId="EndnoteTextChar">
    <w:name w:val="Endnote Text Char"/>
    <w:basedOn w:val="DefaultParagraphFont"/>
    <w:link w:val="EndnoteText"/>
    <w:uiPriority w:val="99"/>
    <w:semiHidden/>
    <w:rsid w:val="008663DE"/>
  </w:style>
  <w:style w:type="character" w:styleId="EndnoteReference">
    <w:name w:val="endnote reference"/>
    <w:basedOn w:val="DefaultParagraphFont"/>
    <w:uiPriority w:val="99"/>
    <w:semiHidden/>
    <w:rsid w:val="000B495E"/>
    <w:rPr>
      <w:vertAlign w:val="superscript"/>
    </w:rPr>
  </w:style>
  <w:style w:type="paragraph" w:customStyle="1" w:styleId="Schedule2">
    <w:name w:val="Schedule 2"/>
    <w:next w:val="L1Para"/>
    <w:uiPriority w:val="6"/>
    <w:qFormat/>
    <w:rsid w:val="00F27C83"/>
    <w:pPr>
      <w:numPr>
        <w:ilvl w:val="1"/>
        <w:numId w:val="5"/>
      </w:numPr>
      <w:outlineLvl w:val="1"/>
    </w:pPr>
  </w:style>
  <w:style w:type="paragraph" w:customStyle="1" w:styleId="Schedule3">
    <w:name w:val="Schedule 3"/>
    <w:next w:val="L2Para"/>
    <w:uiPriority w:val="6"/>
    <w:qFormat/>
    <w:rsid w:val="00F27C83"/>
    <w:pPr>
      <w:numPr>
        <w:ilvl w:val="2"/>
        <w:numId w:val="5"/>
      </w:numPr>
      <w:outlineLvl w:val="2"/>
    </w:pPr>
  </w:style>
  <w:style w:type="paragraph" w:customStyle="1" w:styleId="Schedule4">
    <w:name w:val="Schedule 4"/>
    <w:next w:val="L3Para"/>
    <w:uiPriority w:val="6"/>
    <w:qFormat/>
    <w:rsid w:val="00F27C83"/>
    <w:pPr>
      <w:numPr>
        <w:ilvl w:val="3"/>
        <w:numId w:val="5"/>
      </w:numPr>
      <w:outlineLvl w:val="3"/>
    </w:pPr>
  </w:style>
  <w:style w:type="paragraph" w:customStyle="1" w:styleId="Schedule5">
    <w:name w:val="Schedule 5"/>
    <w:next w:val="L4Para"/>
    <w:uiPriority w:val="6"/>
    <w:qFormat/>
    <w:rsid w:val="00F27C83"/>
    <w:pPr>
      <w:numPr>
        <w:ilvl w:val="4"/>
        <w:numId w:val="5"/>
      </w:numPr>
      <w:outlineLvl w:val="4"/>
    </w:pPr>
  </w:style>
  <w:style w:type="paragraph" w:customStyle="1" w:styleId="ScheduleName">
    <w:name w:val="Schedule Name"/>
    <w:basedOn w:val="Normal"/>
    <w:next w:val="Normal"/>
    <w:uiPriority w:val="5"/>
    <w:qFormat/>
    <w:rsid w:val="0077389F"/>
    <w:pPr>
      <w:jc w:val="center"/>
    </w:pPr>
    <w:rPr>
      <w:b/>
    </w:rPr>
  </w:style>
  <w:style w:type="paragraph" w:styleId="TOC1">
    <w:name w:val="toc 1"/>
    <w:next w:val="Normal"/>
    <w:autoRedefine/>
    <w:uiPriority w:val="39"/>
    <w:rsid w:val="00B51AAF"/>
    <w:pPr>
      <w:tabs>
        <w:tab w:val="left" w:pos="660"/>
        <w:tab w:val="right" w:leader="dot" w:pos="9878"/>
      </w:tabs>
      <w:ind w:left="226" w:hanging="113"/>
      <w:jc w:val="left"/>
    </w:pPr>
    <w:rPr>
      <w:b/>
      <w:caps/>
    </w:rPr>
  </w:style>
  <w:style w:type="character" w:styleId="Hyperlink">
    <w:name w:val="Hyperlink"/>
    <w:basedOn w:val="DefaultParagraphFont"/>
    <w:uiPriority w:val="99"/>
    <w:rsid w:val="00E354AF"/>
    <w:rPr>
      <w:color w:val="6B9F25" w:themeColor="hyperlink"/>
      <w:u w:val="single"/>
    </w:rPr>
  </w:style>
  <w:style w:type="paragraph" w:customStyle="1" w:styleId="SectionHeadings">
    <w:name w:val="SectionHeadings"/>
    <w:next w:val="Normal"/>
    <w:uiPriority w:val="6"/>
    <w:semiHidden/>
    <w:qFormat/>
    <w:rsid w:val="00E354AF"/>
    <w:pPr>
      <w:spacing w:before="480"/>
    </w:pPr>
  </w:style>
  <w:style w:type="paragraph" w:customStyle="1" w:styleId="Stylea">
    <w:name w:val="Style (a)"/>
    <w:uiPriority w:val="3"/>
    <w:qFormat/>
    <w:rsid w:val="00F27C83"/>
    <w:pPr>
      <w:numPr>
        <w:numId w:val="6"/>
      </w:numPr>
    </w:pPr>
  </w:style>
  <w:style w:type="table" w:customStyle="1" w:styleId="ALGplaintable">
    <w:name w:val="ALG plain table"/>
    <w:basedOn w:val="TableNormal"/>
    <w:uiPriority w:val="99"/>
    <w:rsid w:val="00C94F1C"/>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PlaceholderText">
    <w:name w:val="Placeholder Text"/>
    <w:basedOn w:val="DefaultParagraphFont"/>
    <w:uiPriority w:val="99"/>
    <w:semiHidden/>
    <w:rsid w:val="002140A1"/>
    <w:rPr>
      <w:color w:val="808080"/>
    </w:rPr>
  </w:style>
  <w:style w:type="paragraph" w:customStyle="1" w:styleId="Appendix1">
    <w:name w:val="Appendix 1"/>
    <w:next w:val="AppendixName"/>
    <w:uiPriority w:val="7"/>
    <w:qFormat/>
    <w:rsid w:val="00990C6B"/>
    <w:pPr>
      <w:pageBreakBefore/>
      <w:numPr>
        <w:numId w:val="7"/>
      </w:numPr>
      <w:spacing w:before="480"/>
      <w:jc w:val="center"/>
      <w:outlineLvl w:val="0"/>
    </w:pPr>
    <w:rPr>
      <w:rFonts w:eastAsia="Times New Roman" w:cs="Times New Roman"/>
      <w:b/>
      <w:caps/>
    </w:rPr>
  </w:style>
  <w:style w:type="paragraph" w:customStyle="1" w:styleId="Appendix3">
    <w:name w:val="Appendix 3"/>
    <w:next w:val="L2Para"/>
    <w:uiPriority w:val="8"/>
    <w:qFormat/>
    <w:rsid w:val="00F27C83"/>
    <w:pPr>
      <w:numPr>
        <w:ilvl w:val="2"/>
        <w:numId w:val="7"/>
      </w:numPr>
    </w:pPr>
  </w:style>
  <w:style w:type="paragraph" w:customStyle="1" w:styleId="Appendix2">
    <w:name w:val="Appendix 2"/>
    <w:next w:val="L1Para"/>
    <w:uiPriority w:val="8"/>
    <w:qFormat/>
    <w:rsid w:val="00F27C83"/>
    <w:pPr>
      <w:numPr>
        <w:ilvl w:val="1"/>
        <w:numId w:val="7"/>
      </w:numPr>
    </w:pPr>
  </w:style>
  <w:style w:type="paragraph" w:customStyle="1" w:styleId="Appendix4">
    <w:name w:val="Appendix 4"/>
    <w:next w:val="L3Para"/>
    <w:uiPriority w:val="8"/>
    <w:qFormat/>
    <w:rsid w:val="00F27C83"/>
    <w:pPr>
      <w:numPr>
        <w:ilvl w:val="3"/>
        <w:numId w:val="7"/>
      </w:numPr>
    </w:pPr>
  </w:style>
  <w:style w:type="paragraph" w:customStyle="1" w:styleId="Appendix5">
    <w:name w:val="Appendix 5"/>
    <w:next w:val="L4Para"/>
    <w:uiPriority w:val="8"/>
    <w:qFormat/>
    <w:rsid w:val="00F27C83"/>
    <w:pPr>
      <w:numPr>
        <w:ilvl w:val="4"/>
        <w:numId w:val="7"/>
      </w:numPr>
    </w:pPr>
  </w:style>
  <w:style w:type="paragraph" w:customStyle="1" w:styleId="AppendixName">
    <w:name w:val="Appendix Name"/>
    <w:next w:val="Appendix2"/>
    <w:uiPriority w:val="7"/>
    <w:semiHidden/>
    <w:qFormat/>
    <w:rsid w:val="00E97074"/>
    <w:pPr>
      <w:jc w:val="center"/>
    </w:pPr>
    <w:rPr>
      <w:rFonts w:eastAsia="Times New Roman" w:cs="Times New Roman"/>
      <w:b/>
    </w:rPr>
  </w:style>
  <w:style w:type="paragraph" w:customStyle="1" w:styleId="ParaNoSpacing">
    <w:name w:val="Para NoSpacing"/>
    <w:uiPriority w:val="4"/>
    <w:qFormat/>
    <w:rsid w:val="007B1C75"/>
    <w:pPr>
      <w:spacing w:before="0"/>
    </w:pPr>
    <w:rPr>
      <w:rFonts w:eastAsia="Times New Roman" w:cs="Times New Roman"/>
    </w:rPr>
  </w:style>
  <w:style w:type="paragraph" w:styleId="TOC2">
    <w:name w:val="toc 2"/>
    <w:next w:val="Normal"/>
    <w:autoRedefine/>
    <w:uiPriority w:val="39"/>
    <w:unhideWhenUsed/>
    <w:rsid w:val="00B51AAF"/>
    <w:pPr>
      <w:ind w:left="226" w:hanging="113"/>
    </w:pPr>
    <w:rPr>
      <w:rFonts w:eastAsia="Times New Roman" w:cs="Times New Roman"/>
      <w:b/>
      <w:caps/>
    </w:rPr>
  </w:style>
  <w:style w:type="paragraph" w:styleId="TOC3">
    <w:name w:val="toc 3"/>
    <w:basedOn w:val="Normal"/>
    <w:next w:val="Normal"/>
    <w:autoRedefine/>
    <w:uiPriority w:val="39"/>
    <w:semiHidden/>
    <w:unhideWhenUsed/>
    <w:rsid w:val="007E1FB2"/>
    <w:pPr>
      <w:spacing w:after="100"/>
      <w:ind w:left="400"/>
    </w:pPr>
    <w:rPr>
      <w:b/>
    </w:rPr>
  </w:style>
  <w:style w:type="paragraph" w:styleId="NormalWeb">
    <w:name w:val="Normal (Web)"/>
    <w:basedOn w:val="Normal"/>
    <w:uiPriority w:val="99"/>
    <w:unhideWhenUsed/>
    <w:rsid w:val="00DD0F28"/>
    <w:pPr>
      <w:spacing w:before="100" w:beforeAutospacing="1" w:after="100" w:afterAutospacing="1" w:line="240" w:lineRule="auto"/>
      <w:jc w:val="left"/>
    </w:pPr>
    <w:rPr>
      <w:rFonts w:ascii="Times New Roman" w:eastAsiaTheme="minorHAnsi" w:hAnsi="Times New Roman"/>
      <w:sz w:val="24"/>
      <w:szCs w:val="24"/>
    </w:rPr>
  </w:style>
  <w:style w:type="character" w:customStyle="1" w:styleId="apple-converted-space">
    <w:name w:val="apple-converted-space"/>
    <w:basedOn w:val="DefaultParagraphFont"/>
    <w:rsid w:val="00DD0F28"/>
  </w:style>
  <w:style w:type="character" w:styleId="FollowedHyperlink">
    <w:name w:val="FollowedHyperlink"/>
    <w:basedOn w:val="DefaultParagraphFont"/>
    <w:uiPriority w:val="99"/>
    <w:semiHidden/>
    <w:unhideWhenUsed/>
    <w:rsid w:val="00A84E35"/>
    <w:rPr>
      <w:color w:val="B26B02" w:themeColor="followedHyperlink"/>
      <w:u w:val="single"/>
    </w:rPr>
  </w:style>
  <w:style w:type="table" w:customStyle="1" w:styleId="TableGrid1">
    <w:name w:val="Table Grid1"/>
    <w:basedOn w:val="TableNormal"/>
    <w:next w:val="TableGrid"/>
    <w:uiPriority w:val="59"/>
    <w:rsid w:val="003A04F0"/>
    <w:pPr>
      <w:spacing w:before="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rPr>
        <w:rFonts w:ascii="Arial" w:hAnsi="Arial"/>
        <w:b/>
        <w:color w:val="auto"/>
        <w:sz w:val="20"/>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sid w:val="003A04F0"/>
    <w:rPr>
      <w:rFonts w:cs="Arial"/>
    </w:rPr>
  </w:style>
  <w:style w:type="paragraph" w:styleId="CommentSubject">
    <w:name w:val="annotation subject"/>
    <w:basedOn w:val="CommentText"/>
    <w:next w:val="CommentText"/>
    <w:link w:val="CommentSubjectChar"/>
    <w:uiPriority w:val="99"/>
    <w:semiHidden/>
    <w:unhideWhenUsed/>
    <w:rsid w:val="00F666F8"/>
    <w:rPr>
      <w:b/>
      <w:bCs/>
    </w:rPr>
  </w:style>
  <w:style w:type="character" w:customStyle="1" w:styleId="CommentSubjectChar">
    <w:name w:val="Comment Subject Char"/>
    <w:basedOn w:val="CommentTextChar"/>
    <w:link w:val="CommentSubject"/>
    <w:uiPriority w:val="99"/>
    <w:semiHidden/>
    <w:rsid w:val="00F666F8"/>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943708">
      <w:bodyDiv w:val="1"/>
      <w:marLeft w:val="0"/>
      <w:marRight w:val="0"/>
      <w:marTop w:val="0"/>
      <w:marBottom w:val="0"/>
      <w:divBdr>
        <w:top w:val="none" w:sz="0" w:space="0" w:color="auto"/>
        <w:left w:val="none" w:sz="0" w:space="0" w:color="auto"/>
        <w:bottom w:val="none" w:sz="0" w:space="0" w:color="auto"/>
        <w:right w:val="none" w:sz="0" w:space="0" w:color="auto"/>
      </w:divBdr>
      <w:divsChild>
        <w:div w:id="1964723433">
          <w:marLeft w:val="0"/>
          <w:marRight w:val="0"/>
          <w:marTop w:val="0"/>
          <w:marBottom w:val="240"/>
          <w:divBdr>
            <w:top w:val="none" w:sz="0" w:space="0" w:color="auto"/>
            <w:left w:val="none" w:sz="0" w:space="0" w:color="auto"/>
            <w:bottom w:val="none" w:sz="0" w:space="0" w:color="auto"/>
            <w:right w:val="none" w:sz="0" w:space="0" w:color="auto"/>
          </w:divBdr>
          <w:divsChild>
            <w:div w:id="20011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80402">
      <w:bodyDiv w:val="1"/>
      <w:marLeft w:val="0"/>
      <w:marRight w:val="0"/>
      <w:marTop w:val="0"/>
      <w:marBottom w:val="0"/>
      <w:divBdr>
        <w:top w:val="none" w:sz="0" w:space="0" w:color="auto"/>
        <w:left w:val="none" w:sz="0" w:space="0" w:color="auto"/>
        <w:bottom w:val="none" w:sz="0" w:space="0" w:color="auto"/>
        <w:right w:val="none" w:sz="0" w:space="0" w:color="auto"/>
      </w:divBdr>
    </w:div>
    <w:div w:id="1281573392">
      <w:bodyDiv w:val="1"/>
      <w:marLeft w:val="0"/>
      <w:marRight w:val="0"/>
      <w:marTop w:val="0"/>
      <w:marBottom w:val="0"/>
      <w:divBdr>
        <w:top w:val="none" w:sz="0" w:space="0" w:color="auto"/>
        <w:left w:val="none" w:sz="0" w:space="0" w:color="auto"/>
        <w:bottom w:val="none" w:sz="0" w:space="0" w:color="auto"/>
        <w:right w:val="none" w:sz="0" w:space="0" w:color="auto"/>
      </w:divBdr>
    </w:div>
    <w:div w:id="1638291099">
      <w:bodyDiv w:val="1"/>
      <w:marLeft w:val="0"/>
      <w:marRight w:val="0"/>
      <w:marTop w:val="0"/>
      <w:marBottom w:val="0"/>
      <w:divBdr>
        <w:top w:val="none" w:sz="0" w:space="0" w:color="auto"/>
        <w:left w:val="none" w:sz="0" w:space="0" w:color="auto"/>
        <w:bottom w:val="none" w:sz="0" w:space="0" w:color="auto"/>
        <w:right w:val="none" w:sz="0" w:space="0" w:color="auto"/>
      </w:divBdr>
    </w:div>
    <w:div w:id="1940259918">
      <w:bodyDiv w:val="1"/>
      <w:marLeft w:val="0"/>
      <w:marRight w:val="0"/>
      <w:marTop w:val="0"/>
      <w:marBottom w:val="0"/>
      <w:divBdr>
        <w:top w:val="none" w:sz="0" w:space="0" w:color="auto"/>
        <w:left w:val="none" w:sz="0" w:space="0" w:color="auto"/>
        <w:bottom w:val="none" w:sz="0" w:space="0" w:color="auto"/>
        <w:right w:val="none" w:sz="0" w:space="0" w:color="auto"/>
      </w:divBdr>
    </w:div>
    <w:div w:id="2039507913">
      <w:bodyDiv w:val="1"/>
      <w:marLeft w:val="0"/>
      <w:marRight w:val="0"/>
      <w:marTop w:val="0"/>
      <w:marBottom w:val="0"/>
      <w:divBdr>
        <w:top w:val="none" w:sz="0" w:space="0" w:color="auto"/>
        <w:left w:val="none" w:sz="0" w:space="0" w:color="auto"/>
        <w:bottom w:val="none" w:sz="0" w:space="0" w:color="auto"/>
        <w:right w:val="none" w:sz="0" w:space="0" w:color="auto"/>
      </w:divBdr>
      <w:divsChild>
        <w:div w:id="503712048">
          <w:marLeft w:val="0"/>
          <w:marRight w:val="0"/>
          <w:marTop w:val="0"/>
          <w:marBottom w:val="0"/>
          <w:divBdr>
            <w:top w:val="none" w:sz="0" w:space="0" w:color="auto"/>
            <w:left w:val="none" w:sz="0" w:space="0" w:color="auto"/>
            <w:bottom w:val="none" w:sz="0" w:space="0" w:color="auto"/>
            <w:right w:val="none" w:sz="0" w:space="0" w:color="auto"/>
          </w:divBdr>
          <w:divsChild>
            <w:div w:id="31002829">
              <w:marLeft w:val="0"/>
              <w:marRight w:val="0"/>
              <w:marTop w:val="0"/>
              <w:marBottom w:val="0"/>
              <w:divBdr>
                <w:top w:val="none" w:sz="0" w:space="0" w:color="auto"/>
                <w:left w:val="none" w:sz="0" w:space="0" w:color="auto"/>
                <w:bottom w:val="none" w:sz="0" w:space="0" w:color="auto"/>
                <w:right w:val="none" w:sz="0" w:space="0" w:color="auto"/>
              </w:divBdr>
              <w:divsChild>
                <w:div w:id="604314219">
                  <w:marLeft w:val="0"/>
                  <w:marRight w:val="0"/>
                  <w:marTop w:val="0"/>
                  <w:marBottom w:val="0"/>
                  <w:divBdr>
                    <w:top w:val="none" w:sz="0" w:space="0" w:color="auto"/>
                    <w:left w:val="none" w:sz="0" w:space="0" w:color="auto"/>
                    <w:bottom w:val="none" w:sz="0" w:space="0" w:color="auto"/>
                    <w:right w:val="none" w:sz="0" w:space="0" w:color="auto"/>
                  </w:divBdr>
                  <w:divsChild>
                    <w:div w:id="663820944">
                      <w:marLeft w:val="0"/>
                      <w:marRight w:val="0"/>
                      <w:marTop w:val="0"/>
                      <w:marBottom w:val="0"/>
                      <w:divBdr>
                        <w:top w:val="none" w:sz="0" w:space="0" w:color="auto"/>
                        <w:left w:val="none" w:sz="0" w:space="0" w:color="auto"/>
                        <w:bottom w:val="none" w:sz="0" w:space="0" w:color="auto"/>
                        <w:right w:val="none" w:sz="0" w:space="0" w:color="auto"/>
                      </w:divBdr>
                      <w:divsChild>
                        <w:div w:id="695934102">
                          <w:marLeft w:val="0"/>
                          <w:marRight w:val="0"/>
                          <w:marTop w:val="0"/>
                          <w:marBottom w:val="0"/>
                          <w:divBdr>
                            <w:top w:val="none" w:sz="0" w:space="0" w:color="auto"/>
                            <w:left w:val="none" w:sz="0" w:space="0" w:color="auto"/>
                            <w:bottom w:val="none" w:sz="0" w:space="0" w:color="auto"/>
                            <w:right w:val="none" w:sz="0" w:space="0" w:color="auto"/>
                          </w:divBdr>
                          <w:divsChild>
                            <w:div w:id="2039356786">
                              <w:marLeft w:val="0"/>
                              <w:marRight w:val="0"/>
                              <w:marTop w:val="0"/>
                              <w:marBottom w:val="0"/>
                              <w:divBdr>
                                <w:top w:val="none" w:sz="0" w:space="0" w:color="auto"/>
                                <w:left w:val="none" w:sz="0" w:space="0" w:color="auto"/>
                                <w:bottom w:val="none" w:sz="0" w:space="0" w:color="auto"/>
                                <w:right w:val="none" w:sz="0" w:space="0" w:color="auto"/>
                              </w:divBdr>
                              <w:divsChild>
                                <w:div w:id="1715038836">
                                  <w:marLeft w:val="0"/>
                                  <w:marRight w:val="0"/>
                                  <w:marTop w:val="0"/>
                                  <w:marBottom w:val="0"/>
                                  <w:divBdr>
                                    <w:top w:val="none" w:sz="0" w:space="0" w:color="auto"/>
                                    <w:left w:val="none" w:sz="0" w:space="0" w:color="auto"/>
                                    <w:bottom w:val="none" w:sz="0" w:space="0" w:color="auto"/>
                                    <w:right w:val="none" w:sz="0" w:space="0" w:color="auto"/>
                                  </w:divBdr>
                                  <w:divsChild>
                                    <w:div w:id="12635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4.visualcompliance.com/stock/procurecodes.cf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LTemplates\WorkgroupTemplates\ALGBlank.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ALGBlank.dotm</Template>
  <TotalTime>0</TotalTime>
  <Pages>9</Pages>
  <Words>4163</Words>
  <Characters>23730</Characters>
  <Application>Microsoft Office Word</Application>
  <DocSecurity>0</DocSecurity>
  <Lines>197</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27838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2018-06-04T10:03:00Z</dcterms:created>
  <dcterms:modified xsi:type="dcterms:W3CDTF">2018-06-04T10:03:00Z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M-40205608-2</vt:lpwstr>
  </property>
  <property fmtid="{D5CDD505-2E9C-101B-9397-08002B2CF9AE}" pid="3" name="MSIP_Label_2c159b7c-1546-4848-a5c0-6145c7e7a434_Enabled">
    <vt:lpwstr>True</vt:lpwstr>
  </property>
  <property fmtid="{D5CDD505-2E9C-101B-9397-08002B2CF9AE}" pid="4" name="MSIP_Label_2c159b7c-1546-4848-a5c0-6145c7e7a434_SiteId">
    <vt:lpwstr>46cec638-8a06-43fd-a7d7-8a626e13367f</vt:lpwstr>
  </property>
  <property fmtid="{D5CDD505-2E9C-101B-9397-08002B2CF9AE}" pid="5" name="MSIP_Label_2c159b7c-1546-4848-a5c0-6145c7e7a434_Ref">
    <vt:lpwstr>https://api.informationprotection.azure.com/api/46cec638-8a06-43fd-a7d7-8a626e13367f</vt:lpwstr>
  </property>
  <property fmtid="{D5CDD505-2E9C-101B-9397-08002B2CF9AE}" pid="6" name="MSIP_Label_2c159b7c-1546-4848-a5c0-6145c7e7a434_Owner">
    <vt:lpwstr>Chuck.Fliehman@teleflex.com</vt:lpwstr>
  </property>
  <property fmtid="{D5CDD505-2E9C-101B-9397-08002B2CF9AE}" pid="7" name="MSIP_Label_2c159b7c-1546-4848-a5c0-6145c7e7a434_SetDate">
    <vt:lpwstr>2018-05-23T09:36:57.9510433-04:00</vt:lpwstr>
  </property>
  <property fmtid="{D5CDD505-2E9C-101B-9397-08002B2CF9AE}" pid="8" name="MSIP_Label_2c159b7c-1546-4848-a5c0-6145c7e7a434_Name">
    <vt:lpwstr>General</vt:lpwstr>
  </property>
  <property fmtid="{D5CDD505-2E9C-101B-9397-08002B2CF9AE}" pid="9" name="MSIP_Label_2c159b7c-1546-4848-a5c0-6145c7e7a434_Application">
    <vt:lpwstr>Microsoft Azure Information Protection</vt:lpwstr>
  </property>
  <property fmtid="{D5CDD505-2E9C-101B-9397-08002B2CF9AE}" pid="10" name="MSIP_Label_2c159b7c-1546-4848-a5c0-6145c7e7a434_Extended_MSFT_Method">
    <vt:lpwstr>Automatic</vt:lpwstr>
  </property>
  <property fmtid="{D5CDD505-2E9C-101B-9397-08002B2CF9AE}" pid="11" name="Sensitivity">
    <vt:lpwstr>General</vt:lpwstr>
  </property>
</Properties>
</file>