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67F1" w14:textId="4C7F64E0" w:rsidR="00CF4428" w:rsidRPr="0097748E" w:rsidRDefault="002576E9" w:rsidP="0093656C">
      <w:pPr>
        <w:spacing w:before="100" w:beforeAutospacing="1" w:after="100" w:afterAutospacing="1" w:line="276" w:lineRule="auto"/>
        <w:rPr>
          <w:b/>
          <w:szCs w:val="24"/>
        </w:rPr>
      </w:pPr>
      <w:bookmarkStart w:id="0" w:name="_GoBack"/>
      <w:bookmarkEnd w:id="0"/>
      <w:r>
        <w:rPr>
          <w:b/>
          <w:szCs w:val="24"/>
        </w:rPr>
        <w:t>DATENSCHUTZERKLÄRUNG – HÄNDLER</w:t>
      </w:r>
    </w:p>
    <w:p w14:paraId="42ACD6A1" w14:textId="4E4DC2F6" w:rsidR="004F443F" w:rsidRPr="0097748E" w:rsidRDefault="008F5F92" w:rsidP="0093656C">
      <w:pPr>
        <w:spacing w:before="100" w:beforeAutospacing="1" w:after="100" w:afterAutospacing="1" w:line="276" w:lineRule="auto"/>
        <w:rPr>
          <w:szCs w:val="24"/>
        </w:rPr>
      </w:pPr>
      <w:r>
        <w:t>Teleflex ist um den Schutz Ihrer personenbezogenen Daten bemüht. Die vorliegende Datenschutzerklärung erläutert die Rechtsgrundlagen, auf der wir personenbezogene Daten verarbeiten, die wir über Sie erfassen oder die Sie uns mitteilen (</w:t>
      </w:r>
      <w:r>
        <w:rPr>
          <w:b/>
          <w:szCs w:val="24"/>
        </w:rPr>
        <w:t>Daten</w:t>
      </w:r>
      <w:r>
        <w:t>). Bitte lesen Sie den folgenden Text sorgfältig durch, damit Sie verstehen, wie wir Daten nutzen.</w:t>
      </w:r>
    </w:p>
    <w:p w14:paraId="0D426B16" w14:textId="73DD085A" w:rsidR="00CF4428" w:rsidRPr="0097748E" w:rsidRDefault="004F443F" w:rsidP="0093656C">
      <w:pPr>
        <w:spacing w:before="100" w:beforeAutospacing="1" w:after="100" w:afterAutospacing="1" w:line="276" w:lineRule="auto"/>
        <w:rPr>
          <w:szCs w:val="24"/>
        </w:rPr>
      </w:pPr>
      <w:r>
        <w:t xml:space="preserve">Bitte beachten Sie, dass diese Datenschutzerklärung nur für personenbezogene Daten gilt, die von Teleflex Incorporated, 550 E. Swedesford Road, Suite 400, Wayne, PA 19087-1603, USA, oder ggf. einer der in </w:t>
      </w:r>
      <w:r>
        <w:rPr>
          <w:b/>
          <w:szCs w:val="24"/>
        </w:rPr>
        <w:t>Anhang 1</w:t>
      </w:r>
      <w:r>
        <w:t xml:space="preserve"> dieser Datenschutzerklärung angegebenen Konzerngesellschaften/Niederlassungen (nachstehend als „Teleflex“, „wir“, „uns“ oder „unser“ bezeichnet), erhoben und verarbeitet werden.</w:t>
      </w:r>
    </w:p>
    <w:p w14:paraId="4812D8FF" w14:textId="435887E7" w:rsidR="003B6309" w:rsidRPr="0097748E" w:rsidRDefault="003B6309" w:rsidP="0093656C">
      <w:pPr>
        <w:spacing w:before="100" w:beforeAutospacing="1" w:after="100" w:afterAutospacing="1" w:line="276" w:lineRule="auto"/>
        <w:rPr>
          <w:rFonts w:cs="Arial"/>
        </w:rPr>
      </w:pPr>
      <w:r>
        <w:t>Durch die Unterzeichnung des Einwilligungsformulars und die Bereitstellung von Daten für den Händler-Überprüfungsfragebogen sowie durch die Geschäftsbeziehung zwischen dem Unternehmen und Teleflex stimmen Sie der Nutzung Ihrer Daten gemäß dieser Datenschutzerklärung zu. Sie haben das Recht, Ihre Einwilligung jederzeit zu widerrufen. Bitte kontaktieren Sie uns, wenn Sie dies tun möchten (siehe unten „Kontaktieren Sie uns“). </w:t>
      </w:r>
    </w:p>
    <w:p w14:paraId="1C4FFA0B" w14:textId="797404C7" w:rsidR="004A6F7B" w:rsidRPr="0097748E" w:rsidRDefault="004A6F7B" w:rsidP="0093656C">
      <w:pPr>
        <w:spacing w:before="100" w:beforeAutospacing="1" w:after="100" w:afterAutospacing="1" w:line="276" w:lineRule="auto"/>
        <w:rPr>
          <w:rFonts w:cs="Arial"/>
        </w:rPr>
      </w:pPr>
      <w:r>
        <w:t>Zum Zweck dieser Datenschutzerklärung bezieht sich der Ausdruck „das Unternehmen“ auf die in Abschnitt A.1 des Händler-Überprüfungsfragebogens genannte Gesellschaft bzw. das Unternehmen, mit dem Teleflex eine Vertriebsvereinbarung eingeht.</w:t>
      </w:r>
    </w:p>
    <w:p w14:paraId="02D62E05" w14:textId="77777777" w:rsidR="00CA4D3C" w:rsidRPr="0097748E" w:rsidRDefault="00CA4D3C" w:rsidP="0093656C">
      <w:pPr>
        <w:spacing w:before="100" w:beforeAutospacing="1" w:after="100" w:afterAutospacing="1" w:line="276" w:lineRule="auto"/>
        <w:rPr>
          <w:b/>
          <w:color w:val="333333"/>
        </w:rPr>
      </w:pPr>
      <w:r>
        <w:rPr>
          <w:b/>
          <w:color w:val="333333"/>
        </w:rPr>
        <w:t>Anwendungsbereich</w:t>
      </w:r>
    </w:p>
    <w:p w14:paraId="2588C69C" w14:textId="7F9A47C9" w:rsidR="00CA4D3C" w:rsidRPr="0097748E" w:rsidRDefault="00CA4D3C" w:rsidP="0093656C">
      <w:pPr>
        <w:spacing w:before="100" w:beforeAutospacing="1" w:after="100" w:afterAutospacing="1" w:line="276" w:lineRule="auto"/>
      </w:pPr>
      <w:r>
        <w:t>Diese Datenschutzerklärung gilt für Sie als ehemaliger, aktueller oder zukünftiger Mitarbeiter, Führungskraft oder Leiter des im Händler-Überprüfungsfragebogen angegebenen Unternehmens und die Geschäftsbeziehung zwischen dem Unternehmen und Teleflex.</w:t>
      </w:r>
      <w:r w:rsidR="0093656C">
        <w:t xml:space="preserve"> </w:t>
      </w:r>
      <w:r>
        <w:t>Ebenso gilt sie für Dritte, deren Daten Sie uns im Zusammenhang mit unserer Geschäftsbeziehung zum Unternehmen mitteilen.</w:t>
      </w:r>
      <w:r w:rsidR="0093656C">
        <w:t xml:space="preserve"> </w:t>
      </w:r>
      <w:r>
        <w:t>Bitte stellen Sie sicher, dass Sie Dritten, deren personenbezogene Daten Sie uns mitteilen, eine Kopie dieser Datenschutzerklärung aushändigen.</w:t>
      </w:r>
    </w:p>
    <w:p w14:paraId="69591E74" w14:textId="77777777" w:rsidR="00D350C5" w:rsidRPr="0097748E" w:rsidRDefault="00D350C5" w:rsidP="0093656C">
      <w:pPr>
        <w:spacing w:before="0" w:line="276" w:lineRule="auto"/>
        <w:rPr>
          <w:rFonts w:eastAsiaTheme="minorHAnsi" w:cs="Arial"/>
          <w:b/>
          <w:color w:val="333333"/>
        </w:rPr>
      </w:pPr>
      <w:r>
        <w:rPr>
          <w:b/>
          <w:color w:val="333333"/>
        </w:rPr>
        <w:t>Was sind personenbezogene Daten?</w:t>
      </w:r>
    </w:p>
    <w:p w14:paraId="2BAB9871" w14:textId="77777777" w:rsidR="005C19B3" w:rsidRPr="0097748E" w:rsidRDefault="005C19B3" w:rsidP="0093656C">
      <w:pPr>
        <w:spacing w:before="0" w:line="276" w:lineRule="auto"/>
        <w:rPr>
          <w:rFonts w:eastAsiaTheme="minorHAnsi" w:cs="Arial"/>
          <w:b/>
          <w:color w:val="333333"/>
        </w:rPr>
      </w:pPr>
    </w:p>
    <w:p w14:paraId="1AF243DA" w14:textId="308EE719" w:rsidR="00D350C5" w:rsidRPr="0097748E" w:rsidRDefault="00D350C5" w:rsidP="0093656C">
      <w:pPr>
        <w:spacing w:before="0" w:line="276" w:lineRule="auto"/>
        <w:rPr>
          <w:rFonts w:eastAsiaTheme="minorHAnsi" w:cs="Arial"/>
          <w:color w:val="333333"/>
        </w:rPr>
      </w:pPr>
      <w:r>
        <w:t>„Personenbezogene Daten“ sind Daten in Bezug auf eine lebende natürliche Person, die anhand dieser Daten direkt oder in Verbindung mit anderen Informationen indirekt identifiziert werden kann. Wir speichern einige oder alle der folgenden Arten von personenbezogenen Daten über Sie, die uns vom Unternehmen im Händler-Überprüfungsfragebogen oder bei der Erfüllung der Vertriebsvereinbarung zwischen Unternehmen und Teleflex mitgeteilt werden:</w:t>
      </w:r>
    </w:p>
    <w:p w14:paraId="1EDC9D20" w14:textId="697DCAF9" w:rsidR="00480F9E" w:rsidRPr="0097748E" w:rsidRDefault="00480F9E" w:rsidP="0093656C">
      <w:pPr>
        <w:pStyle w:val="ListParagraph"/>
        <w:numPr>
          <w:ilvl w:val="0"/>
          <w:numId w:val="10"/>
        </w:numPr>
        <w:spacing w:before="100" w:beforeAutospacing="1" w:after="100" w:afterAutospacing="1" w:line="276" w:lineRule="auto"/>
        <w:contextualSpacing/>
        <w:rPr>
          <w:szCs w:val="24"/>
        </w:rPr>
      </w:pPr>
      <w:r>
        <w:t>Name und Geschäftskontaktdaten, einschließlich E-Mail und Telefonnummer.</w:t>
      </w:r>
    </w:p>
    <w:p w14:paraId="4FA0DE52" w14:textId="77777777" w:rsidR="00480F9E" w:rsidRPr="0097748E" w:rsidRDefault="00480F9E" w:rsidP="0093656C">
      <w:pPr>
        <w:pStyle w:val="ListParagraph"/>
        <w:spacing w:before="100" w:beforeAutospacing="1" w:after="100" w:afterAutospacing="1" w:line="276" w:lineRule="auto"/>
        <w:contextualSpacing/>
        <w:rPr>
          <w:szCs w:val="24"/>
          <w:lang w:val="en" w:eastAsia="en-IE"/>
        </w:rPr>
      </w:pPr>
    </w:p>
    <w:p w14:paraId="2EFECAD0" w14:textId="4B9166B3" w:rsidR="00CF134A" w:rsidRPr="0097748E" w:rsidRDefault="00CF134A" w:rsidP="0093656C">
      <w:pPr>
        <w:pStyle w:val="ListParagraph"/>
        <w:numPr>
          <w:ilvl w:val="0"/>
          <w:numId w:val="10"/>
        </w:numPr>
        <w:spacing w:before="100" w:beforeAutospacing="1" w:after="100" w:afterAutospacing="1" w:line="276" w:lineRule="auto"/>
        <w:contextualSpacing/>
        <w:rPr>
          <w:szCs w:val="24"/>
        </w:rPr>
      </w:pPr>
      <w:r>
        <w:t xml:space="preserve">Wenn Sie zehn Prozent (10 %) oder mehr am Unternehmen halten, speichern wir Ihren Namen, Anrede, Staatsbürgerschaft und den Eigentumsanteil. </w:t>
      </w:r>
    </w:p>
    <w:p w14:paraId="4D9697EF" w14:textId="77777777" w:rsidR="00A71957" w:rsidRPr="0097748E" w:rsidRDefault="00A71957" w:rsidP="0093656C">
      <w:pPr>
        <w:pStyle w:val="ListParagraph"/>
        <w:spacing w:before="100" w:beforeAutospacing="1" w:after="100" w:afterAutospacing="1" w:line="276" w:lineRule="auto"/>
        <w:contextualSpacing/>
        <w:rPr>
          <w:szCs w:val="24"/>
          <w:lang w:val="en" w:eastAsia="en-IE"/>
        </w:rPr>
      </w:pPr>
    </w:p>
    <w:p w14:paraId="5007244A" w14:textId="432AD8A3" w:rsidR="00A53307" w:rsidRPr="0097748E" w:rsidRDefault="00A53307" w:rsidP="0093656C">
      <w:pPr>
        <w:pStyle w:val="ListParagraph"/>
        <w:numPr>
          <w:ilvl w:val="0"/>
          <w:numId w:val="10"/>
        </w:numPr>
        <w:spacing w:before="100" w:beforeAutospacing="1" w:after="100" w:afterAutospacing="1" w:line="276" w:lineRule="auto"/>
        <w:contextualSpacing/>
        <w:rPr>
          <w:szCs w:val="24"/>
        </w:rPr>
      </w:pPr>
      <w:r>
        <w:t>Wenn Sie ein Leiter bzw. eine Führungskraft des Unternehmens sind, erfassen wir Ihre Daten einschließlich Namen, Anrede, Dauer der Beschäftigung im Unternehmen, Adresse, Reisepassnummer und Staatsbürgerschaft.</w:t>
      </w:r>
    </w:p>
    <w:p w14:paraId="254F8F7B" w14:textId="77777777" w:rsidR="00A71957" w:rsidRPr="0097748E" w:rsidRDefault="00A71957" w:rsidP="0093656C">
      <w:pPr>
        <w:pStyle w:val="ListParagraph"/>
        <w:spacing w:before="100" w:beforeAutospacing="1" w:after="100" w:afterAutospacing="1" w:line="276" w:lineRule="auto"/>
        <w:contextualSpacing/>
        <w:rPr>
          <w:szCs w:val="24"/>
          <w:lang w:val="en" w:eastAsia="en-IE"/>
        </w:rPr>
      </w:pPr>
    </w:p>
    <w:p w14:paraId="52F3E093" w14:textId="7FFC0CAA" w:rsidR="00D64B55" w:rsidRPr="0097748E" w:rsidRDefault="00F64DE8" w:rsidP="0093656C">
      <w:pPr>
        <w:pStyle w:val="ListParagraph"/>
        <w:numPr>
          <w:ilvl w:val="0"/>
          <w:numId w:val="10"/>
        </w:numPr>
        <w:spacing w:before="100" w:beforeAutospacing="1" w:after="100" w:afterAutospacing="1" w:line="276" w:lineRule="auto"/>
        <w:contextualSpacing/>
        <w:rPr>
          <w:szCs w:val="24"/>
        </w:rPr>
      </w:pPr>
      <w:r>
        <w:t xml:space="preserve">Wenn Sie ein ehemaliger oder gegenwärtiger Manager, Leiter, Partner, bedeutender Eigentümer oder Mitarbeiter des Unternehmens sind, erfassen wir folgende Daten: (i) ob Sie irgendwann in den letzten 5 Jahren ein Mitarbeiter oder eine Führungskraft einer Regierung, einer Regierungsstelle oder einer anderen im Besitz einer Regierung oder sonst von einer Regierung kontrollierten Gesellschaft waren; (ii) ob Sie mit einem Mitarbeiter oder einer Führungskraft einer Regierung, einer Regierungsstelle oder einer anderen im Besitz einer Regierung oder sonst von einer Regierung kontrollierten Gesellschaft verwandt sind; (iii) ob Sie oder ein direkter Familienangehöriger Mitarbeiter oder Mitglied einer öffentlichen </w:t>
      </w:r>
      <w:r>
        <w:lastRenderedPageBreak/>
        <w:t>internationalen Organisation (z. B. Weltbank, Internationaler Währungsfonds, Vereinte Nationen, Asiatische Entwicklungsbank oder Europäische Union) waren; (iv) ob Sie am Verkauf von Teleflex-Produkten durch das Unternehmen beteiligt sind oder in irgendeiner Form davon profitieren; (v) ob Sie einen Betrieb, Büros oder eine sonstige Geschäftstätigkeit in Kuba, im Iran, in Libyen, Nordkorea, Sudan, Syrien oder der Krim-Region der Ukraine unterhalten; (vi) ob Sie auf eine Sperrliste gesetzt wurden (z. B. die Denied Persons List, die Unverified List oder Entity List des US-Handelsministeriums, Specially Designated Nationals List des US-Finanzministeriums); (vii) ausführliche Angaben über Eigentumsbeteiligungen an anderen Unternehmen.</w:t>
      </w:r>
    </w:p>
    <w:p w14:paraId="52218A28" w14:textId="77777777" w:rsidR="00A71957" w:rsidRPr="0097748E" w:rsidRDefault="00A71957" w:rsidP="0093656C">
      <w:pPr>
        <w:pStyle w:val="ListParagraph"/>
        <w:spacing w:before="100" w:beforeAutospacing="1" w:after="100" w:afterAutospacing="1" w:line="276" w:lineRule="auto"/>
        <w:contextualSpacing/>
        <w:rPr>
          <w:szCs w:val="24"/>
          <w:lang w:val="en" w:eastAsia="en-IE"/>
        </w:rPr>
      </w:pPr>
    </w:p>
    <w:p w14:paraId="1E2E2A9C" w14:textId="77A40991" w:rsidR="0007186C" w:rsidRPr="0097748E" w:rsidRDefault="0007186C" w:rsidP="0093656C">
      <w:pPr>
        <w:pStyle w:val="ListParagraph"/>
        <w:numPr>
          <w:ilvl w:val="0"/>
          <w:numId w:val="10"/>
        </w:numPr>
        <w:spacing w:before="100" w:beforeAutospacing="1" w:after="100" w:afterAutospacing="1" w:line="276" w:lineRule="auto"/>
        <w:contextualSpacing/>
        <w:rPr>
          <w:szCs w:val="24"/>
        </w:rPr>
      </w:pPr>
      <w:r>
        <w:t>Wenn Sie ein Mitarbeiter sind, der ausschließlich oder hauptsächlich mit dem Verkauf von Teleflex-Produkten beschäftigt ist, erfassen wir Daten einschließlich Namen, Anrede und Beschäftigungsdauer bei Ihrem Arbeitgeber, Identitäts- und Bestätigungsdaten sowie Nachweisunterlagen, z. B. eine Kopie des Reisepasses.</w:t>
      </w:r>
    </w:p>
    <w:p w14:paraId="6BBDF725" w14:textId="77777777" w:rsidR="00A71957" w:rsidRPr="0097748E" w:rsidRDefault="00A71957" w:rsidP="0093656C">
      <w:pPr>
        <w:pStyle w:val="ListParagraph"/>
        <w:spacing w:before="100" w:beforeAutospacing="1" w:after="100" w:afterAutospacing="1" w:line="276" w:lineRule="auto"/>
        <w:contextualSpacing/>
        <w:rPr>
          <w:szCs w:val="24"/>
          <w:lang w:val="en" w:eastAsia="en-IE"/>
        </w:rPr>
      </w:pPr>
    </w:p>
    <w:p w14:paraId="510654B8" w14:textId="037ED9B6" w:rsidR="00D64B55" w:rsidRPr="0097748E" w:rsidRDefault="00F5606B" w:rsidP="0093656C">
      <w:pPr>
        <w:pStyle w:val="ListParagraph"/>
        <w:numPr>
          <w:ilvl w:val="0"/>
          <w:numId w:val="10"/>
        </w:numPr>
        <w:spacing w:before="100" w:beforeAutospacing="1" w:after="100" w:afterAutospacing="1" w:line="276" w:lineRule="auto"/>
        <w:contextualSpacing/>
      </w:pPr>
      <w:r>
        <w:t xml:space="preserve">Wir sammeln Daten darüber, ob Sie oder ein unmittelbarer Familienangehöriger Mitglied einer politischen Partei sind. </w:t>
      </w:r>
    </w:p>
    <w:p w14:paraId="71BF45BE" w14:textId="77777777" w:rsidR="00A71957" w:rsidRPr="0097748E" w:rsidRDefault="00A71957" w:rsidP="0093656C">
      <w:pPr>
        <w:pStyle w:val="ListParagraph"/>
        <w:spacing w:before="100" w:beforeAutospacing="1" w:after="100" w:afterAutospacing="1" w:line="276" w:lineRule="auto"/>
        <w:contextualSpacing/>
      </w:pPr>
    </w:p>
    <w:p w14:paraId="5789BA72" w14:textId="32AEB76D" w:rsidR="00E2163E" w:rsidRPr="0097748E" w:rsidRDefault="00F5606B" w:rsidP="0093656C">
      <w:pPr>
        <w:pStyle w:val="ListParagraph"/>
        <w:numPr>
          <w:ilvl w:val="0"/>
          <w:numId w:val="10"/>
        </w:numPr>
        <w:spacing w:before="100" w:beforeAutospacing="1" w:after="100" w:afterAutospacing="1" w:line="276" w:lineRule="auto"/>
        <w:contextualSpacing/>
        <w:rPr>
          <w:szCs w:val="24"/>
        </w:rPr>
      </w:pPr>
      <w:r>
        <w:t>Wir erfassen unter Umständen Daten darüber, ob Sie jemals einer Straftat, einschließlich Bestechung, Korruption bzw. Einfuhr, Ausfuhr oder Vertrieb von Waren, beschuldigt wurden, entsprechend gegen Sie ermittelt wurde, Sie verklagt, angeklagt, verurteilt wurden, Sie sich entsprechend schuldig bekannt oder dies nicht bestritten haben.</w:t>
      </w:r>
    </w:p>
    <w:p w14:paraId="618338A0" w14:textId="77777777" w:rsidR="00FF6455" w:rsidRPr="0097748E" w:rsidRDefault="00FF6455" w:rsidP="0093656C">
      <w:pPr>
        <w:pStyle w:val="ListParagraph"/>
        <w:spacing w:before="100" w:beforeAutospacing="1" w:after="100" w:afterAutospacing="1" w:line="276" w:lineRule="auto"/>
        <w:contextualSpacing/>
        <w:rPr>
          <w:szCs w:val="24"/>
          <w:lang w:val="en" w:eastAsia="en-IE"/>
        </w:rPr>
      </w:pPr>
    </w:p>
    <w:p w14:paraId="22AE05D0" w14:textId="4CB69A70" w:rsidR="0099227D" w:rsidRPr="0097748E" w:rsidRDefault="00E2163E" w:rsidP="0093656C">
      <w:pPr>
        <w:pStyle w:val="ListParagraph"/>
        <w:numPr>
          <w:ilvl w:val="0"/>
          <w:numId w:val="10"/>
        </w:numPr>
        <w:spacing w:before="100" w:beforeAutospacing="1" w:after="100" w:afterAutospacing="1" w:line="276" w:lineRule="auto"/>
        <w:contextualSpacing/>
        <w:rPr>
          <w:szCs w:val="24"/>
        </w:rPr>
      </w:pPr>
      <w:r>
        <w:t xml:space="preserve">Zusätzliche Informationen, die Sie uns zum Beispiel per E-Mail oder Telefonanruf zu Überprüfungszwecken oder zum Zweck der Vertriebsvereinbarung zwischen dem Unternehmen und Teleflex mitteilen. </w:t>
      </w:r>
    </w:p>
    <w:p w14:paraId="700B83D2" w14:textId="144F97E7" w:rsidR="003A04F0" w:rsidRPr="0097748E" w:rsidRDefault="003A04F0" w:rsidP="0093656C">
      <w:pPr>
        <w:spacing w:before="100" w:beforeAutospacing="1" w:after="100" w:afterAutospacing="1" w:line="276" w:lineRule="auto"/>
        <w:rPr>
          <w:rFonts w:eastAsiaTheme="minorHAnsi" w:cs="Arial"/>
          <w:b/>
          <w:bCs/>
          <w:color w:val="333333"/>
        </w:rPr>
      </w:pPr>
      <w:r>
        <w:rPr>
          <w:b/>
          <w:bCs/>
          <w:color w:val="333333"/>
        </w:rPr>
        <w:t xml:space="preserve">Zweck und </w:t>
      </w:r>
      <w:r>
        <w:rPr>
          <w:b/>
          <w:color w:val="333333"/>
        </w:rPr>
        <w:t xml:space="preserve">Rechtsgrundlage </w:t>
      </w:r>
      <w:r>
        <w:rPr>
          <w:b/>
          <w:bCs/>
          <w:color w:val="333333"/>
        </w:rPr>
        <w:t>der Verarbeitung Ihrer Daten</w:t>
      </w:r>
    </w:p>
    <w:p w14:paraId="04CD0874" w14:textId="2F5F283A" w:rsidR="003A04F0" w:rsidRPr="0097748E" w:rsidRDefault="003A04F0" w:rsidP="0093656C">
      <w:pPr>
        <w:spacing w:before="0" w:line="276" w:lineRule="auto"/>
        <w:rPr>
          <w:rFonts w:eastAsiaTheme="minorHAnsi" w:cs="Arial"/>
          <w:color w:val="333333"/>
        </w:rPr>
      </w:pPr>
      <w:r>
        <w:rPr>
          <w:color w:val="333333"/>
        </w:rPr>
        <w:t>Wir speichern, verarbeiten und übermitteln ggf. Ihre personenbezogenen Daten für folgende Zwecke:</w:t>
      </w:r>
    </w:p>
    <w:p w14:paraId="48C9F2AD" w14:textId="77777777" w:rsidR="003A04F0" w:rsidRPr="0097748E" w:rsidRDefault="003A04F0" w:rsidP="0093656C">
      <w:pPr>
        <w:spacing w:before="0" w:line="276" w:lineRule="auto"/>
        <w:rPr>
          <w:rFonts w:eastAsiaTheme="minorHAnsi" w:cs="Arial"/>
          <w:color w:val="333333"/>
        </w:rPr>
      </w:pPr>
    </w:p>
    <w:tbl>
      <w:tblPr>
        <w:tblStyle w:val="TableGrid1"/>
        <w:tblW w:w="0" w:type="auto"/>
        <w:tblLook w:val="04A0" w:firstRow="1" w:lastRow="0" w:firstColumn="1" w:lastColumn="0" w:noHBand="0" w:noVBand="1"/>
      </w:tblPr>
      <w:tblGrid>
        <w:gridCol w:w="4965"/>
        <w:gridCol w:w="4913"/>
      </w:tblGrid>
      <w:tr w:rsidR="003A04F0" w:rsidRPr="0097748E" w14:paraId="1FF6E216"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066FBAF5" w14:textId="77777777" w:rsidR="003A04F0" w:rsidRPr="0097748E" w:rsidRDefault="003A04F0" w:rsidP="0093656C">
            <w:pPr>
              <w:spacing w:before="100" w:beforeAutospacing="1" w:line="276" w:lineRule="auto"/>
              <w:ind w:left="720"/>
              <w:rPr>
                <w:rFonts w:cs="Arial"/>
                <w:color w:val="333333"/>
              </w:rPr>
            </w:pPr>
            <w:r>
              <w:rPr>
                <w:color w:val="333333"/>
              </w:rPr>
              <w:t>Zweck der Verarbeitung</w:t>
            </w:r>
          </w:p>
        </w:tc>
        <w:tc>
          <w:tcPr>
            <w:tcW w:w="4913" w:type="dxa"/>
          </w:tcPr>
          <w:p w14:paraId="0763EFE5" w14:textId="467B1B98" w:rsidR="003A04F0" w:rsidRPr="0097748E" w:rsidRDefault="003A04F0" w:rsidP="0093656C">
            <w:pPr>
              <w:spacing w:before="100" w:beforeAutospacing="1" w:line="276" w:lineRule="auto"/>
              <w:ind w:left="411"/>
              <w:rPr>
                <w:rFonts w:cs="Arial"/>
                <w:color w:val="333333"/>
              </w:rPr>
            </w:pPr>
            <w:r>
              <w:rPr>
                <w:color w:val="333333"/>
              </w:rPr>
              <w:t>Rechtsgrundlage der Verarbeitung</w:t>
            </w:r>
          </w:p>
        </w:tc>
      </w:tr>
      <w:tr w:rsidR="009B3B32" w:rsidRPr="0097748E" w14:paraId="32C9E909" w14:textId="77777777" w:rsidTr="006E08C7">
        <w:tc>
          <w:tcPr>
            <w:tcW w:w="4965" w:type="dxa"/>
          </w:tcPr>
          <w:p w14:paraId="14ECF362" w14:textId="7B84F318" w:rsidR="009B3B32" w:rsidRPr="0097748E" w:rsidRDefault="007F27C9" w:rsidP="0093656C">
            <w:pPr>
              <w:spacing w:before="100" w:beforeAutospacing="1" w:after="100" w:afterAutospacing="1" w:line="276" w:lineRule="auto"/>
              <w:rPr>
                <w:szCs w:val="24"/>
              </w:rPr>
            </w:pPr>
            <w:r>
              <w:t xml:space="preserve">Zur Durchführung und Vervollständigung unserer Überprüfungs- und Screening-Verfahren, einschließlich der Durchführung von Suchanfragen und Prüfung Ihrer Identität, um sicherzustellen, dass sich Ihr Name auf keiner der in </w:t>
            </w:r>
            <w:r>
              <w:rPr>
                <w:b/>
                <w:szCs w:val="24"/>
              </w:rPr>
              <w:t>Anhang 2</w:t>
            </w:r>
            <w:r>
              <w:t xml:space="preserve"> angegebenen Listen befindet, einschließlich finanzieller oder sonstiger Sanktionslisten oder Personensperrlisten.</w:t>
            </w:r>
          </w:p>
        </w:tc>
        <w:tc>
          <w:tcPr>
            <w:tcW w:w="4913" w:type="dxa"/>
          </w:tcPr>
          <w:p w14:paraId="6141C25A" w14:textId="10C3B86B" w:rsidR="00550486" w:rsidRPr="0097748E" w:rsidRDefault="009F1B83" w:rsidP="0093656C">
            <w:pPr>
              <w:numPr>
                <w:ilvl w:val="0"/>
                <w:numId w:val="12"/>
              </w:numPr>
              <w:spacing w:before="100" w:beforeAutospacing="1" w:line="276" w:lineRule="auto"/>
              <w:rPr>
                <w:rFonts w:cs="Arial"/>
                <w:color w:val="333333"/>
              </w:rPr>
            </w:pPr>
            <w:r>
              <w:rPr>
                <w:color w:val="333333"/>
              </w:rPr>
              <w:t xml:space="preserve">Diese Verarbeitung erfolgt auf der Grundlage Ihrer </w:t>
            </w:r>
            <w:r>
              <w:rPr>
                <w:b/>
                <w:color w:val="333333"/>
              </w:rPr>
              <w:t>ausdrücklichen Einwilligung</w:t>
            </w:r>
            <w:r>
              <w:rPr>
                <w:color w:val="333333"/>
              </w:rPr>
              <w:t>. Sie können Ihre Einwilligung jederzeit widerrufen, indem Sie uns kontaktieren (siehe „Kontaktieren Sie uns“ unten).</w:t>
            </w:r>
          </w:p>
        </w:tc>
      </w:tr>
      <w:tr w:rsidR="005A08A2" w:rsidRPr="0097748E" w14:paraId="27DE21D1" w14:textId="77777777" w:rsidTr="006E08C7">
        <w:tc>
          <w:tcPr>
            <w:tcW w:w="4965" w:type="dxa"/>
          </w:tcPr>
          <w:p w14:paraId="6BC57B5B" w14:textId="3D1B4CD7" w:rsidR="009A2DFF" w:rsidRPr="0097748E" w:rsidRDefault="005A08A2" w:rsidP="0093656C">
            <w:pPr>
              <w:spacing w:line="276" w:lineRule="auto"/>
            </w:pPr>
            <w:r>
              <w:t>Um Ihnen Information in Bezug auf das Überprüfungsverfahren und unsere Geschäftsbeziehung zur Verfügung zu stellen.</w:t>
            </w:r>
          </w:p>
          <w:p w14:paraId="570E6DB6" w14:textId="5B5F9D02" w:rsidR="00F953B5" w:rsidRPr="0097748E" w:rsidRDefault="00BE1154" w:rsidP="0093656C">
            <w:pPr>
              <w:spacing w:line="276" w:lineRule="auto"/>
              <w:rPr>
                <w:szCs w:val="24"/>
              </w:rPr>
            </w:pPr>
            <w:r>
              <w:t>Um Ihnen Änderungen unserer Geschäftsvereinbarung mitzuteilen.</w:t>
            </w:r>
          </w:p>
          <w:p w14:paraId="720E338C" w14:textId="5EC44E97" w:rsidR="00F953B5" w:rsidRPr="0097748E" w:rsidRDefault="00BE1154" w:rsidP="0093656C">
            <w:pPr>
              <w:spacing w:line="276" w:lineRule="auto"/>
              <w:rPr>
                <w:szCs w:val="24"/>
              </w:rPr>
            </w:pPr>
            <w:r>
              <w:t>Um die Geschäftsvereinbarungen zwischen uns und dem Unternehmen zu erfüllen.</w:t>
            </w:r>
          </w:p>
          <w:p w14:paraId="6208A6E3" w14:textId="2C07E394" w:rsidR="00BE1154" w:rsidRPr="0097748E" w:rsidRDefault="00BE1154" w:rsidP="0093656C">
            <w:pPr>
              <w:spacing w:line="276" w:lineRule="auto"/>
              <w:rPr>
                <w:szCs w:val="24"/>
              </w:rPr>
            </w:pPr>
            <w:r>
              <w:t>Um Audits durchzuführen und zu Audits beizutragen.</w:t>
            </w:r>
          </w:p>
        </w:tc>
        <w:tc>
          <w:tcPr>
            <w:tcW w:w="4913" w:type="dxa"/>
          </w:tcPr>
          <w:p w14:paraId="00F73CA4" w14:textId="46603845" w:rsidR="005A08A2" w:rsidRPr="0097748E" w:rsidRDefault="00BE1154" w:rsidP="0093656C">
            <w:pPr>
              <w:numPr>
                <w:ilvl w:val="0"/>
                <w:numId w:val="12"/>
              </w:numPr>
              <w:spacing w:line="276" w:lineRule="auto"/>
              <w:rPr>
                <w:rFonts w:cs="Arial"/>
                <w:color w:val="333333"/>
              </w:rPr>
            </w:pPr>
            <w:r>
              <w:rPr>
                <w:color w:val="333333"/>
              </w:rPr>
              <w:t>Diese Nutzung Ihrer Daten ist zur Wahrung unserer berechtigten Interessen bei der Führung unseres Unternehmens notwendig, darunter rechtliche, personelle und administrative Zwecke sowie Management und die Verhinderung und Aufdeckung von Straftaten.</w:t>
            </w:r>
            <w:r w:rsidR="0093656C">
              <w:rPr>
                <w:color w:val="333333"/>
              </w:rPr>
              <w:t xml:space="preserve"> </w:t>
            </w:r>
            <w:r>
              <w:rPr>
                <w:color w:val="333333"/>
              </w:rPr>
              <w:t>Wir haben eine Verhältnismäßigkeitsprüfung vorgenommen, um sicherzustellen, dass Ihre Interessen nicht gegenüber unserem berechtigten geschäftlichen Interesse überwiegen.</w:t>
            </w:r>
            <w:r w:rsidR="0093656C">
              <w:rPr>
                <w:color w:val="333333"/>
              </w:rPr>
              <w:t xml:space="preserve"> </w:t>
            </w:r>
            <w:r>
              <w:rPr>
                <w:color w:val="333333"/>
              </w:rPr>
              <w:t xml:space="preserve">Wenn Sie Informationen über diese von Teleflex durchgeführte Verhältnismäßigkeitsprüfung wünschen, wenden Sie sich bitte per E-Mail an </w:t>
            </w:r>
            <w:r>
              <w:rPr>
                <w:color w:val="333333"/>
              </w:rPr>
              <w:lastRenderedPageBreak/>
              <w:t xml:space="preserve">PrivacyOfficial@teleflex.com. </w:t>
            </w:r>
            <w:r>
              <w:rPr>
                <w:b/>
                <w:color w:val="333333"/>
              </w:rPr>
              <w:t xml:space="preserve">Bitte beachten Sie, dass Sie das Recht haben, gegen die Verarbeitung Ihrer personenbezogenen Daten Widerspruch einzulegen, wenn diese Verarbeitung zur Wahrung unserer berechtigten Interessen erfolgt. </w:t>
            </w:r>
          </w:p>
        </w:tc>
      </w:tr>
    </w:tbl>
    <w:p w14:paraId="52985091" w14:textId="77777777" w:rsidR="0040176E" w:rsidRPr="0097748E" w:rsidRDefault="0040176E" w:rsidP="0093656C">
      <w:pPr>
        <w:spacing w:before="0" w:after="100" w:afterAutospacing="1" w:line="276" w:lineRule="auto"/>
        <w:rPr>
          <w:b/>
          <w:szCs w:val="24"/>
          <w:lang w:val="en" w:eastAsia="en-IE"/>
        </w:rPr>
      </w:pPr>
    </w:p>
    <w:p w14:paraId="11FDAE45" w14:textId="77777777" w:rsidR="00A75A13" w:rsidRPr="0097748E" w:rsidRDefault="00A75A13" w:rsidP="0093656C">
      <w:pPr>
        <w:spacing w:before="0" w:after="100" w:afterAutospacing="1" w:line="276" w:lineRule="auto"/>
        <w:rPr>
          <w:b/>
          <w:szCs w:val="24"/>
        </w:rPr>
      </w:pPr>
      <w:r>
        <w:rPr>
          <w:b/>
          <w:szCs w:val="24"/>
        </w:rPr>
        <w:t xml:space="preserve">Besondere Kategorien personenbezogener Daten </w:t>
      </w:r>
    </w:p>
    <w:p w14:paraId="1C1849B8" w14:textId="77777777" w:rsidR="00A75A13" w:rsidRPr="0097748E" w:rsidRDefault="00A75A13" w:rsidP="0093656C">
      <w:pPr>
        <w:spacing w:before="100" w:beforeAutospacing="1" w:after="100" w:afterAutospacing="1" w:line="276" w:lineRule="auto"/>
        <w:rPr>
          <w:szCs w:val="24"/>
        </w:rPr>
      </w:pPr>
      <w:r>
        <w:t xml:space="preserve">Bestimmte Kategorien Ihrer personenbezogenen Daten gelten als „besondere Daten“. Besondere Daten umfassen Informationen in Bezug auf folgende Merkmale einer natürlichen Person: </w:t>
      </w:r>
    </w:p>
    <w:p w14:paraId="2CE1C7DF" w14:textId="6DE2DF26" w:rsidR="00434CF7" w:rsidRPr="0097748E" w:rsidRDefault="00A75A13" w:rsidP="0093656C">
      <w:pPr>
        <w:spacing w:before="100" w:beforeAutospacing="1" w:after="100" w:afterAutospacing="1" w:line="276" w:lineRule="auto"/>
        <w:rPr>
          <w:szCs w:val="24"/>
        </w:rPr>
      </w:pPr>
      <w:r>
        <w:t>•</w:t>
      </w:r>
      <w:r>
        <w:tab/>
        <w:t xml:space="preserve">körperliche oder geistige Gesundheit </w:t>
      </w:r>
    </w:p>
    <w:p w14:paraId="692002EC" w14:textId="77777777" w:rsidR="00A75A13" w:rsidRPr="0097748E" w:rsidRDefault="00A75A13" w:rsidP="0093656C">
      <w:pPr>
        <w:spacing w:before="100" w:beforeAutospacing="1" w:after="100" w:afterAutospacing="1" w:line="276" w:lineRule="auto"/>
        <w:rPr>
          <w:szCs w:val="24"/>
        </w:rPr>
      </w:pPr>
      <w:r>
        <w:t>•</w:t>
      </w:r>
      <w:r>
        <w:tab/>
        <w:t xml:space="preserve">religiöse oder weltanschauliche Überzeugungen, politische Meinungen </w:t>
      </w:r>
    </w:p>
    <w:p w14:paraId="0C1D025C" w14:textId="77777777" w:rsidR="00A75A13" w:rsidRPr="0097748E" w:rsidRDefault="00A75A13" w:rsidP="0093656C">
      <w:pPr>
        <w:spacing w:before="100" w:beforeAutospacing="1" w:after="100" w:afterAutospacing="1" w:line="276" w:lineRule="auto"/>
        <w:rPr>
          <w:szCs w:val="24"/>
        </w:rPr>
      </w:pPr>
      <w:r>
        <w:t>•</w:t>
      </w:r>
      <w:r>
        <w:tab/>
        <w:t>Gewerkschaftszugehörigkeit</w:t>
      </w:r>
    </w:p>
    <w:p w14:paraId="4FF0491B" w14:textId="77777777" w:rsidR="00A75A13" w:rsidRPr="0097748E" w:rsidRDefault="00A75A13" w:rsidP="0093656C">
      <w:pPr>
        <w:spacing w:before="100" w:beforeAutospacing="1" w:after="100" w:afterAutospacing="1" w:line="276" w:lineRule="auto"/>
        <w:rPr>
          <w:szCs w:val="24"/>
        </w:rPr>
      </w:pPr>
      <w:r>
        <w:t>•</w:t>
      </w:r>
      <w:r>
        <w:tab/>
        <w:t xml:space="preserve">ethnische oder rassische Herkunft </w:t>
      </w:r>
    </w:p>
    <w:p w14:paraId="503167CD" w14:textId="77777777" w:rsidR="00A75A13" w:rsidRPr="0097748E" w:rsidRDefault="00A75A13" w:rsidP="0093656C">
      <w:pPr>
        <w:spacing w:before="100" w:beforeAutospacing="1" w:after="100" w:afterAutospacing="1" w:line="276" w:lineRule="auto"/>
        <w:rPr>
          <w:szCs w:val="24"/>
        </w:rPr>
      </w:pPr>
      <w:r>
        <w:t>•</w:t>
      </w:r>
      <w:r>
        <w:tab/>
        <w:t>biometrische oder genetische Daten</w:t>
      </w:r>
    </w:p>
    <w:p w14:paraId="47069AD0" w14:textId="1267F8E5" w:rsidR="00A75A13" w:rsidRPr="0097748E" w:rsidRDefault="00A75A13" w:rsidP="0093656C">
      <w:pPr>
        <w:spacing w:before="100" w:beforeAutospacing="1" w:after="100" w:afterAutospacing="1" w:line="276" w:lineRule="auto"/>
        <w:rPr>
          <w:szCs w:val="24"/>
        </w:rPr>
      </w:pPr>
      <w:r>
        <w:t>•</w:t>
      </w:r>
      <w:r>
        <w:tab/>
        <w:t>sexuelle Orientierung</w:t>
      </w:r>
    </w:p>
    <w:p w14:paraId="139EAFBF" w14:textId="3B9AC27C" w:rsidR="00BF02D2" w:rsidRPr="0097748E" w:rsidRDefault="00BF02D2" w:rsidP="0093656C">
      <w:pPr>
        <w:spacing w:before="100" w:beforeAutospacing="1" w:after="100" w:afterAutospacing="1" w:line="276" w:lineRule="auto"/>
        <w:rPr>
          <w:b/>
          <w:bCs/>
          <w:szCs w:val="24"/>
        </w:rPr>
      </w:pPr>
      <w:r>
        <w:rPr>
          <w:b/>
          <w:bCs/>
          <w:szCs w:val="24"/>
        </w:rPr>
        <w:t xml:space="preserve">Zweck und </w:t>
      </w:r>
      <w:r>
        <w:rPr>
          <w:b/>
          <w:szCs w:val="24"/>
        </w:rPr>
        <w:t xml:space="preserve">Rechtsgrundlage </w:t>
      </w:r>
      <w:r>
        <w:rPr>
          <w:b/>
          <w:bCs/>
          <w:szCs w:val="24"/>
        </w:rPr>
        <w:t>der Verarbeitung Ihrer besonderen Daten</w:t>
      </w:r>
    </w:p>
    <w:p w14:paraId="49C8FA8B" w14:textId="77777777" w:rsidR="00BF02D2" w:rsidRPr="0097748E" w:rsidRDefault="00BF02D2" w:rsidP="0093656C">
      <w:pPr>
        <w:spacing w:before="100" w:beforeAutospacing="1" w:after="100" w:afterAutospacing="1" w:line="276" w:lineRule="auto"/>
        <w:rPr>
          <w:szCs w:val="24"/>
        </w:rPr>
      </w:pPr>
      <w:r>
        <w:t>Wir speichern, verarbeiten und übermitteln ggf. Ihre personenbezogenen Daten für folgende Zwecke:</w:t>
      </w:r>
    </w:p>
    <w:tbl>
      <w:tblPr>
        <w:tblStyle w:val="TableGrid1"/>
        <w:tblW w:w="0" w:type="auto"/>
        <w:tblLook w:val="04A0" w:firstRow="1" w:lastRow="0" w:firstColumn="1" w:lastColumn="0" w:noHBand="0" w:noVBand="1"/>
      </w:tblPr>
      <w:tblGrid>
        <w:gridCol w:w="4965"/>
        <w:gridCol w:w="4913"/>
      </w:tblGrid>
      <w:tr w:rsidR="00BF02D2" w:rsidRPr="0097748E" w14:paraId="395C14F8"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4B125A37" w14:textId="77777777" w:rsidR="00BF02D2" w:rsidRPr="0097748E" w:rsidRDefault="00BF02D2" w:rsidP="0093656C">
            <w:pPr>
              <w:spacing w:before="100" w:beforeAutospacing="1" w:after="100" w:afterAutospacing="1" w:line="276" w:lineRule="auto"/>
              <w:rPr>
                <w:szCs w:val="24"/>
              </w:rPr>
            </w:pPr>
            <w:r>
              <w:t>Zweck der Verarbeitung</w:t>
            </w:r>
          </w:p>
        </w:tc>
        <w:tc>
          <w:tcPr>
            <w:tcW w:w="4913" w:type="dxa"/>
          </w:tcPr>
          <w:p w14:paraId="1A1BD8E2" w14:textId="7507EBB8" w:rsidR="00BF02D2" w:rsidRPr="0097748E" w:rsidRDefault="00BF02D2" w:rsidP="0093656C">
            <w:pPr>
              <w:spacing w:before="100" w:beforeAutospacing="1" w:after="100" w:afterAutospacing="1" w:line="276" w:lineRule="auto"/>
              <w:rPr>
                <w:szCs w:val="24"/>
              </w:rPr>
            </w:pPr>
            <w:r>
              <w:t>Rechtsgrundlage der Verarbeitung</w:t>
            </w:r>
          </w:p>
        </w:tc>
      </w:tr>
      <w:tr w:rsidR="00BF02D2" w:rsidRPr="0097748E" w14:paraId="48528C9D" w14:textId="77777777" w:rsidTr="006E08C7">
        <w:tc>
          <w:tcPr>
            <w:tcW w:w="4965" w:type="dxa"/>
          </w:tcPr>
          <w:p w14:paraId="1C9D30C8" w14:textId="42B14642" w:rsidR="00BF02D2" w:rsidRPr="0097748E" w:rsidRDefault="00BF02D2" w:rsidP="0093656C">
            <w:pPr>
              <w:spacing w:before="100" w:beforeAutospacing="1" w:after="100" w:afterAutospacing="1" w:line="276" w:lineRule="auto"/>
              <w:rPr>
                <w:szCs w:val="24"/>
              </w:rPr>
            </w:pPr>
            <w:r>
              <w:t xml:space="preserve">Durchführung und Vervollständigung unserer Überprüfungs- und Screening-Verfahren, einschließlich der Durchführung von Suchanfragen und Prüfung Ihrer Identität, um sicherzustellen, dass sich Ihr Name auf keiner der in </w:t>
            </w:r>
            <w:r>
              <w:rPr>
                <w:b/>
                <w:szCs w:val="24"/>
              </w:rPr>
              <w:t>Anhang 2</w:t>
            </w:r>
            <w:r>
              <w:t xml:space="preserve"> angegebenen Listen befindet, einschließlich finanzieller oder sonstiger Sanktionslisten oder Personensperrlisten. </w:t>
            </w:r>
          </w:p>
        </w:tc>
        <w:tc>
          <w:tcPr>
            <w:tcW w:w="4913" w:type="dxa"/>
          </w:tcPr>
          <w:p w14:paraId="26C0AA50" w14:textId="63D0CB9E" w:rsidR="00BF02D2" w:rsidRPr="0097748E" w:rsidRDefault="0040176E" w:rsidP="0093656C">
            <w:pPr>
              <w:pStyle w:val="ListParagraph"/>
              <w:numPr>
                <w:ilvl w:val="0"/>
                <w:numId w:val="12"/>
              </w:numPr>
              <w:spacing w:before="100" w:beforeAutospacing="1" w:after="100" w:afterAutospacing="1" w:line="276" w:lineRule="auto"/>
              <w:rPr>
                <w:szCs w:val="24"/>
              </w:rPr>
            </w:pPr>
            <w:r>
              <w:t xml:space="preserve">Diese Verarbeitung erfolgt auf der Grundlage Ihrer </w:t>
            </w:r>
            <w:r>
              <w:rPr>
                <w:b/>
                <w:szCs w:val="24"/>
              </w:rPr>
              <w:t>ausdrücklichen Einwilligung</w:t>
            </w:r>
            <w:r>
              <w:t>. Sie können Ihre Einwilligung jederzeit widerrufen, indem Sie uns kontaktieren (siehe „Kontaktieren Sie uns“ unten).</w:t>
            </w:r>
          </w:p>
        </w:tc>
      </w:tr>
    </w:tbl>
    <w:p w14:paraId="13D89D58" w14:textId="3B23E8E3" w:rsidR="00201815" w:rsidRPr="0097748E" w:rsidRDefault="00C75802" w:rsidP="0093656C">
      <w:pPr>
        <w:spacing w:before="100" w:beforeAutospacing="1" w:after="100" w:afterAutospacing="1" w:line="276" w:lineRule="auto"/>
        <w:rPr>
          <w:b/>
          <w:bCs/>
          <w:szCs w:val="27"/>
        </w:rPr>
      </w:pPr>
      <w:r>
        <w:t>Wir speichern Ihre Daten nur so lange, wie dies für die Zwecke unseres Überprüfungsverfahrens erforderlich ist, bzw. für die Dauer der damit verbundenen, zu erbringenden Dienstleistungen (sofern anwendbar) oder für die gesetzlich vorgeschriebene Zeitdauer.</w:t>
      </w:r>
    </w:p>
    <w:p w14:paraId="631AAC7A" w14:textId="6BAA1E22" w:rsidR="00CF4428" w:rsidRPr="0097748E" w:rsidRDefault="00201815" w:rsidP="0093656C">
      <w:pPr>
        <w:spacing w:before="100" w:beforeAutospacing="1" w:after="100" w:afterAutospacing="1" w:line="276" w:lineRule="auto"/>
        <w:rPr>
          <w:szCs w:val="24"/>
        </w:rPr>
      </w:pPr>
      <w:r>
        <w:rPr>
          <w:b/>
          <w:bCs/>
          <w:szCs w:val="27"/>
        </w:rPr>
        <w:t>Empfänger Ihrer personenbezogenen Daten</w:t>
      </w:r>
    </w:p>
    <w:p w14:paraId="096F3D46" w14:textId="139A4332" w:rsidR="00DD0F28" w:rsidRPr="0097748E" w:rsidRDefault="00DD0F28" w:rsidP="0093656C">
      <w:pPr>
        <w:spacing w:before="100" w:beforeAutospacing="1" w:after="100" w:afterAutospacing="1" w:line="276" w:lineRule="auto"/>
        <w:rPr>
          <w:szCs w:val="24"/>
        </w:rPr>
      </w:pPr>
      <w:r>
        <w:t>Wir können die Daten, die wir – wie in dieser Datenschutzerklärung erläutert – erfassen, Dritten oder Beauftragten übermitteln, einschließlich, aber nicht beschränkt auf folgende Personen:</w:t>
      </w:r>
    </w:p>
    <w:p w14:paraId="0B8E58C9" w14:textId="2F11DD76" w:rsidR="00DD0F28" w:rsidRPr="0097748E" w:rsidRDefault="00EF13F3" w:rsidP="0093656C">
      <w:pPr>
        <w:numPr>
          <w:ilvl w:val="0"/>
          <w:numId w:val="8"/>
        </w:numPr>
        <w:spacing w:before="100" w:beforeAutospacing="1" w:after="100" w:afterAutospacing="1" w:line="276" w:lineRule="auto"/>
        <w:rPr>
          <w:szCs w:val="24"/>
        </w:rPr>
      </w:pPr>
      <w:r>
        <w:t>unsere verbundenen Unternehmen, namentlich Tochtergesellschaften von Teleflex Incorporated</w:t>
      </w:r>
    </w:p>
    <w:p w14:paraId="25B783F8" w14:textId="1451027E" w:rsidR="00F21051" w:rsidRPr="0097748E" w:rsidRDefault="00F21051" w:rsidP="0093656C">
      <w:pPr>
        <w:numPr>
          <w:ilvl w:val="0"/>
          <w:numId w:val="8"/>
        </w:numPr>
        <w:spacing w:before="100" w:beforeAutospacing="1" w:after="100" w:afterAutospacing="1" w:line="276" w:lineRule="auto"/>
        <w:rPr>
          <w:szCs w:val="24"/>
        </w:rPr>
      </w:pPr>
      <w:r>
        <w:t xml:space="preserve">Auftragnehmer, wie Auftragnehmer für behördliche Angelegenheiten, Steuerberater, Buchhalter und Handelsvertreter </w:t>
      </w:r>
    </w:p>
    <w:p w14:paraId="2076554D" w14:textId="2B0D2EC6" w:rsidR="00F21051" w:rsidRPr="0097748E" w:rsidRDefault="00190E21" w:rsidP="0093656C">
      <w:pPr>
        <w:numPr>
          <w:ilvl w:val="0"/>
          <w:numId w:val="8"/>
        </w:numPr>
        <w:spacing w:before="100" w:beforeAutospacing="1" w:after="100" w:afterAutospacing="1" w:line="276" w:lineRule="auto"/>
        <w:rPr>
          <w:szCs w:val="24"/>
        </w:rPr>
      </w:pPr>
      <w:r>
        <w:t>Dienstleister, wie Gehaltsabrechner und IT-Dienstleister</w:t>
      </w:r>
    </w:p>
    <w:p w14:paraId="50E8F058" w14:textId="3E2F6D13" w:rsidR="00F21051" w:rsidRPr="0097748E" w:rsidRDefault="00091645" w:rsidP="0093656C">
      <w:pPr>
        <w:numPr>
          <w:ilvl w:val="0"/>
          <w:numId w:val="8"/>
        </w:numPr>
        <w:spacing w:before="100" w:beforeAutospacing="1" w:after="100" w:afterAutospacing="1" w:line="276" w:lineRule="auto"/>
        <w:rPr>
          <w:szCs w:val="24"/>
        </w:rPr>
      </w:pPr>
      <w:r>
        <w:lastRenderedPageBreak/>
        <w:t>Rechtsberater zum Zweck der Erfüllung unserer rechtlichen Pflichten, sowohl zur Rechtsberatung als auch zur Verteidigung in Rechtsstreitigkeiten</w:t>
      </w:r>
    </w:p>
    <w:p w14:paraId="05663C43" w14:textId="72FE6D0D" w:rsidR="00883B2B" w:rsidRPr="0097748E" w:rsidRDefault="00883B2B" w:rsidP="0093656C">
      <w:pPr>
        <w:numPr>
          <w:ilvl w:val="0"/>
          <w:numId w:val="8"/>
        </w:numPr>
        <w:spacing w:before="100" w:beforeAutospacing="1" w:after="100" w:afterAutospacing="1" w:line="276" w:lineRule="auto"/>
        <w:rPr>
          <w:szCs w:val="24"/>
        </w:rPr>
      </w:pPr>
      <w:r>
        <w:t>Versicherungsgesellschaften zum Zweck der Erfüllung unserer rechtlichen Pflichten, sowohl zur Beratung als auch zur Verteidigung bei Ansprüchen</w:t>
      </w:r>
    </w:p>
    <w:p w14:paraId="636730B6" w14:textId="179564DE" w:rsidR="00F21051" w:rsidRPr="0097748E" w:rsidRDefault="00091645" w:rsidP="0093656C">
      <w:pPr>
        <w:numPr>
          <w:ilvl w:val="0"/>
          <w:numId w:val="8"/>
        </w:numPr>
        <w:spacing w:before="100" w:beforeAutospacing="1" w:after="100" w:afterAutospacing="1" w:line="276" w:lineRule="auto"/>
        <w:rPr>
          <w:szCs w:val="24"/>
        </w:rPr>
      </w:pPr>
      <w:r>
        <w:t>Auditoren zur Erfüllung unserer rechtlichen Pflichten</w:t>
      </w:r>
    </w:p>
    <w:p w14:paraId="6EF0CCE4" w14:textId="3D15698E" w:rsidR="00DD0F28" w:rsidRPr="0097748E" w:rsidRDefault="00DD0F28" w:rsidP="0093656C">
      <w:pPr>
        <w:numPr>
          <w:ilvl w:val="0"/>
          <w:numId w:val="8"/>
        </w:numPr>
        <w:spacing w:before="100" w:beforeAutospacing="1" w:after="100" w:afterAutospacing="1" w:line="276" w:lineRule="auto"/>
        <w:rPr>
          <w:szCs w:val="24"/>
        </w:rPr>
      </w:pPr>
      <w:r>
        <w:t xml:space="preserve">sonstige Dritte, die wir zur Unterstützung unseres Unternehmens einsetzen, wie z. B. im Überprüfungs-/Screening-Verfahren und zur Verwaltung unserer Geschäftsbeziehung, wie KPMG und Dun &amp; Bradstreet </w:t>
      </w:r>
    </w:p>
    <w:p w14:paraId="75631416" w14:textId="28EAB8CB" w:rsidR="00EF13F3" w:rsidRPr="0097748E" w:rsidRDefault="00F21051" w:rsidP="0093656C">
      <w:pPr>
        <w:numPr>
          <w:ilvl w:val="0"/>
          <w:numId w:val="8"/>
        </w:numPr>
        <w:spacing w:before="100" w:beforeAutospacing="1" w:after="100" w:afterAutospacing="1" w:line="276" w:lineRule="auto"/>
        <w:rPr>
          <w:szCs w:val="24"/>
        </w:rPr>
      </w:pPr>
      <w:r>
        <w:t>einen Käufer oder sonstigen Rechtsnachfolger im Fall einer Fusion, einer Abstoßung, Umstrukturierung, Neuorganisation, Entflechtung oder einer sonstigen vollständigen oder teilweisen Veräußerung oder Übertragung des Geschäfts von Teleflex und seiner verbundenen Gesellschaften, sei es zur Unternehmensfortführung oder als Teil eines Konkurses, einer Liquidation oder ähnlicher Vorgänge, bei denen die von uns über unsere Dienstleister gespeicherten Daten zu den übertragenen Aktiva gehören</w:t>
      </w:r>
    </w:p>
    <w:p w14:paraId="7CFE608B" w14:textId="75068FE4" w:rsidR="00C9139A" w:rsidRPr="0097748E" w:rsidRDefault="00DD0F28" w:rsidP="0093656C">
      <w:pPr>
        <w:spacing w:before="100" w:beforeAutospacing="1" w:after="100" w:afterAutospacing="1" w:line="276" w:lineRule="auto"/>
        <w:rPr>
          <w:szCs w:val="24"/>
        </w:rPr>
      </w:pPr>
      <w:r>
        <w:t>Wir können Daten auch aus folgenden Gründen weitergeben:</w:t>
      </w:r>
    </w:p>
    <w:p w14:paraId="5EE93D12" w14:textId="22A4473E" w:rsidR="00C9139A" w:rsidRPr="0097748E" w:rsidRDefault="00DD0F28" w:rsidP="0093656C">
      <w:pPr>
        <w:pStyle w:val="ListParagraph"/>
        <w:numPr>
          <w:ilvl w:val="0"/>
          <w:numId w:val="9"/>
        </w:numPr>
        <w:spacing w:before="100" w:beforeAutospacing="1" w:after="100" w:afterAutospacing="1" w:line="276" w:lineRule="auto"/>
        <w:rPr>
          <w:szCs w:val="24"/>
        </w:rPr>
      </w:pPr>
      <w:r>
        <w:t>Zur Erfüllung einer gerichtlichen Anordnung, im Rahmen eines gesetzlichen oder rechtlichen Verfahrens, einschließlich zur Beantwortung einer Aufforderung durch eine Regierungsstelle oder Behörde</w:t>
      </w:r>
    </w:p>
    <w:p w14:paraId="5BAFADFD" w14:textId="6AE2813E" w:rsidR="00DD0F28" w:rsidRPr="0097748E" w:rsidRDefault="00DD0F28" w:rsidP="0093656C">
      <w:pPr>
        <w:pStyle w:val="ListParagraph"/>
        <w:numPr>
          <w:ilvl w:val="0"/>
          <w:numId w:val="9"/>
        </w:numPr>
        <w:spacing w:before="100" w:beforeAutospacing="1" w:after="100" w:afterAutospacing="1" w:line="276" w:lineRule="auto"/>
        <w:rPr>
          <w:szCs w:val="24"/>
        </w:rPr>
      </w:pPr>
      <w:r>
        <w:t>wenn wir der Auffassung sind, dass die Weitergabe zum Schutz der Rechte, des Eigentums oder der Sicherheit von Teleflex und seiner verbundenen Unternehmen, Kunden oder Dritter notwendig oder geeignet ist; dies beinhaltet den Informationsaustausch mit anderen Unternehmen und Regierungsbehörden und Organisationen zum Schutz vor Betrug, zur Erfüllung zollrechtlicher und handelsrechtlicher Vorschriften und zur Senkung des Kreditausfallrisikos.</w:t>
      </w:r>
    </w:p>
    <w:p w14:paraId="25356763" w14:textId="257F8B9B" w:rsidR="00BE1BF8" w:rsidRPr="0097748E" w:rsidRDefault="00BE1BF8" w:rsidP="0093656C">
      <w:pPr>
        <w:spacing w:before="100" w:beforeAutospacing="1" w:after="100" w:afterAutospacing="1" w:line="276" w:lineRule="auto"/>
        <w:rPr>
          <w:b/>
          <w:szCs w:val="24"/>
        </w:rPr>
      </w:pPr>
      <w:r>
        <w:rPr>
          <w:b/>
          <w:szCs w:val="24"/>
        </w:rPr>
        <w:t>Übermittlung von personenbezogenen Daten in Länder außerhalb des EWR</w:t>
      </w:r>
    </w:p>
    <w:p w14:paraId="46244767" w14:textId="491E200F" w:rsidR="00920C4C" w:rsidRPr="0097748E" w:rsidRDefault="00710AD9" w:rsidP="0093656C">
      <w:pPr>
        <w:spacing w:before="100" w:beforeAutospacing="1" w:after="100" w:afterAutospacing="1" w:line="276" w:lineRule="auto"/>
        <w:rPr>
          <w:b/>
          <w:bCs/>
          <w:szCs w:val="27"/>
        </w:rPr>
      </w:pPr>
      <w:r>
        <w:t>Diese Weitergabe beinhaltet die Übermittlung von Daten in Länder außerhalb des Europäischen Wirtschaftsraums („</w:t>
      </w:r>
      <w:r>
        <w:rPr>
          <w:b/>
          <w:szCs w:val="24"/>
        </w:rPr>
        <w:t>EWR</w:t>
      </w:r>
      <w:r>
        <w:t>“), einschließlich der USA, die eventuell keinen mit dem in der EWR vergleichbaren Schutz in Bezug auf die Verarbeitung Ihrer Daten bieten. Es wurden geeignete Sicherheitsvorkehrungen ergriffen, um die Übermittlung Ihrer Daten zu schützen.</w:t>
      </w:r>
      <w:r w:rsidR="0093656C">
        <w:t xml:space="preserve"> </w:t>
      </w:r>
      <w:r>
        <w:t>Teleflex speichert Daten auf Servern in den USA, die von einem Dritten gehostet werden, nämlich TierPoint Hosted Solutions, 99 TW Alexander Drive, Durham, NC, USA 27709. TierPoint Hosted Solutions ist gemäß Privacy Shield zertifiziert und bietet einen angemessenen Datenschutz in Übereinstimmung mit der Datenschutz-Grundverordnung („</w:t>
      </w:r>
      <w:r>
        <w:rPr>
          <w:b/>
          <w:szCs w:val="24"/>
        </w:rPr>
        <w:t>DSGVO</w:t>
      </w:r>
      <w:r>
        <w:t>“).</w:t>
      </w:r>
      <w:r w:rsidR="0093656C">
        <w:t xml:space="preserve"> </w:t>
      </w:r>
      <w:r>
        <w:t>Bitte kontaktieren Sie uns, wenn Sie weitere Informationen in Bezug auf diese Sicherheitsvorkehrungen benötigen (siehe „Kontaktieren Sie uns“ unten).</w:t>
      </w:r>
    </w:p>
    <w:p w14:paraId="0638482A" w14:textId="20AEF234" w:rsidR="00B95131" w:rsidRPr="0097748E" w:rsidRDefault="004A76C6" w:rsidP="0093656C">
      <w:pPr>
        <w:keepNext/>
        <w:spacing w:before="100" w:beforeAutospacing="1" w:after="100" w:afterAutospacing="1" w:line="276" w:lineRule="auto"/>
        <w:rPr>
          <w:szCs w:val="24"/>
        </w:rPr>
      </w:pPr>
      <w:r>
        <w:rPr>
          <w:b/>
          <w:bCs/>
          <w:szCs w:val="27"/>
        </w:rPr>
        <w:t>Ihre Rechte</w:t>
      </w:r>
    </w:p>
    <w:p w14:paraId="469E078B" w14:textId="5EEDFC3A" w:rsidR="00E814CD" w:rsidRPr="0097748E" w:rsidRDefault="00E814CD" w:rsidP="0093656C">
      <w:pPr>
        <w:spacing w:before="100" w:beforeAutospacing="1" w:after="100" w:afterAutospacing="1" w:line="276" w:lineRule="auto"/>
        <w:rPr>
          <w:szCs w:val="24"/>
        </w:rPr>
      </w:pPr>
      <w:r>
        <w:t xml:space="preserve">Sie haben das Recht, die Einsichtnahme in Ihre Daten bzw. die Berichtigung oder Löschung Ihrer Daten oder die Beschränkung der Verarbeitung derselben zu fordern oder Widerspruch gegen die Verarbeitung Ihrer Daten einzulegen, ebenso wie das Recht auf Datenmitnahme. Nachstehend finden Sie eine Zusammenfassung dieser Rechte: </w:t>
      </w:r>
    </w:p>
    <w:p w14:paraId="379433CB" w14:textId="77777777" w:rsidR="00E814CD" w:rsidRPr="0097748E" w:rsidRDefault="00E814CD" w:rsidP="0093656C">
      <w:pPr>
        <w:pStyle w:val="ListParagraph"/>
        <w:numPr>
          <w:ilvl w:val="0"/>
          <w:numId w:val="11"/>
        </w:numPr>
        <w:spacing w:line="276" w:lineRule="auto"/>
      </w:pPr>
      <w:r>
        <w:rPr>
          <w:b/>
        </w:rPr>
        <w:t>Das Recht auf Einsichtnahme</w:t>
      </w:r>
      <w:r>
        <w:t>: Sie haben das Recht auf eine Kopie Ihrer Daten.</w:t>
      </w:r>
    </w:p>
    <w:p w14:paraId="4B93B37C" w14:textId="77777777" w:rsidR="00E814CD" w:rsidRPr="0093656C" w:rsidRDefault="00E814CD" w:rsidP="0093656C">
      <w:pPr>
        <w:pStyle w:val="ListParagraph"/>
        <w:numPr>
          <w:ilvl w:val="0"/>
          <w:numId w:val="11"/>
        </w:numPr>
        <w:spacing w:line="276" w:lineRule="auto"/>
        <w:rPr>
          <w:spacing w:val="-4"/>
        </w:rPr>
      </w:pPr>
      <w:r w:rsidRPr="0093656C">
        <w:rPr>
          <w:b/>
          <w:spacing w:val="-4"/>
        </w:rPr>
        <w:t>Das Recht auf Berichtigung</w:t>
      </w:r>
      <w:r w:rsidRPr="0093656C">
        <w:rPr>
          <w:spacing w:val="-4"/>
        </w:rPr>
        <w:t>: Sie haben das Recht auf die Korrektur falscher oder unvollständiger Daten.</w:t>
      </w:r>
    </w:p>
    <w:p w14:paraId="7C59737C" w14:textId="77777777" w:rsidR="00E814CD" w:rsidRPr="0097748E" w:rsidRDefault="00E814CD" w:rsidP="0093656C">
      <w:pPr>
        <w:pStyle w:val="ListParagraph"/>
        <w:numPr>
          <w:ilvl w:val="0"/>
          <w:numId w:val="11"/>
        </w:numPr>
        <w:spacing w:line="276" w:lineRule="auto"/>
        <w:rPr>
          <w:rFonts w:cs="Arial"/>
        </w:rPr>
      </w:pPr>
      <w:r>
        <w:rPr>
          <w:b/>
        </w:rPr>
        <w:t>Das Recht auf Löschung</w:t>
      </w:r>
      <w:r>
        <w:t>: Sie haben das Recht, uns unter bestimmten Umständen aufzufordern, Ihre Daten zu löschen, zum Beispiel wenn diese von uns nicht mehr zur Verarbeitung benötigt werden oder wenn Sie der Auffassung sind, dass deren Verarbeitung unrechtmäßig ist. Ihre Anfrage kann abgewiesen werden, wenn die Verarbeitung zur Einhaltung einer rechtlichen Pflicht in der EU oder in Irland oder zum Stellen rechtlicher Forderungen bzw. zur Verteidigung dagegen erforderlich ist.</w:t>
      </w:r>
    </w:p>
    <w:p w14:paraId="33AF4A0B" w14:textId="671C0242" w:rsidR="00B05BE3" w:rsidRPr="0097748E" w:rsidRDefault="00E814CD" w:rsidP="0093656C">
      <w:pPr>
        <w:pStyle w:val="ListParagraph"/>
        <w:numPr>
          <w:ilvl w:val="0"/>
          <w:numId w:val="11"/>
        </w:numPr>
        <w:spacing w:line="276" w:lineRule="auto"/>
        <w:rPr>
          <w:rFonts w:cs="Arial"/>
        </w:rPr>
      </w:pPr>
      <w:r>
        <w:rPr>
          <w:b/>
          <w:bCs/>
        </w:rPr>
        <w:lastRenderedPageBreak/>
        <w:t>Das Recht auf Beschränkung der Verarbeitung</w:t>
      </w:r>
      <w:r>
        <w:t xml:space="preserve">: Sie haben das Recht, uns unter bestimmten Umständen aufzufordern, die Verarbeitung Ihrer Daten auszusetzen, zum Beispiel wenn Sie möchten, dass wir deren Richtigkeit oder unser legitimes Interesse an deren Verarbeitung überprüfen. </w:t>
      </w:r>
    </w:p>
    <w:p w14:paraId="388F8886" w14:textId="77777777" w:rsidR="00B05BE3" w:rsidRPr="0097748E" w:rsidRDefault="00B05BE3" w:rsidP="0093656C">
      <w:pPr>
        <w:pStyle w:val="ListParagraph"/>
        <w:spacing w:before="0" w:line="276" w:lineRule="auto"/>
        <w:ind w:left="714"/>
        <w:rPr>
          <w:rFonts w:cs="Arial"/>
          <w:lang w:val="en" w:eastAsia="en-IE"/>
        </w:rPr>
      </w:pPr>
    </w:p>
    <w:p w14:paraId="1EAA769B" w14:textId="3382BE34" w:rsidR="00E814CD" w:rsidRPr="0097748E" w:rsidRDefault="00E814CD" w:rsidP="0093656C">
      <w:pPr>
        <w:pStyle w:val="ListParagraph"/>
        <w:numPr>
          <w:ilvl w:val="0"/>
          <w:numId w:val="11"/>
        </w:numPr>
        <w:spacing w:before="0" w:line="276" w:lineRule="auto"/>
        <w:ind w:left="714" w:hanging="357"/>
        <w:rPr>
          <w:rFonts w:cs="Arial"/>
        </w:rPr>
      </w:pPr>
      <w:r>
        <w:rPr>
          <w:b/>
        </w:rPr>
        <w:t>Das Recht auf Widerspruch</w:t>
      </w:r>
      <w:r>
        <w:t xml:space="preserve">: </w:t>
      </w:r>
      <w:r>
        <w:rPr>
          <w:b/>
        </w:rPr>
        <w:t>Sie haben das Recht,</w:t>
      </w:r>
      <w:r>
        <w:t xml:space="preserve"> unter bestimmten Umständen Einspruch gegen die Verarbeitung Ihrer Daten einzulegen, zum Beispiel wenn die Verarbeitung auf der Grundlage unserer legitimen Interessen (oder jener von Dritten) erfolgt oder wenn Ihre Daten von uns zum Direktmarketing verwendet werden.</w:t>
      </w:r>
      <w:r w:rsidR="0093656C">
        <w:t xml:space="preserve"> </w:t>
      </w:r>
      <w:r>
        <w:t>Wir werden die Verarbeitung stoppen, außer wenn es zwingende legitime Gründe für die Verarbeitung gibt oder wenn die Verarbeitung zum Stellen rechtlicher Forderungen oder zur Verteidigung dagegen notwendig ist. Sie haben auch das Recht, bei uns Widerspruch gegen die Verarbeitung Ihrer Daten zum Zweck des Direktmarketing einzulegen.</w:t>
      </w:r>
    </w:p>
    <w:p w14:paraId="4AAC5A65" w14:textId="77777777" w:rsidR="00B05BE3" w:rsidRPr="0097748E" w:rsidRDefault="00B05BE3" w:rsidP="0093656C">
      <w:pPr>
        <w:pStyle w:val="ListParagraph"/>
        <w:spacing w:before="0" w:line="276" w:lineRule="auto"/>
        <w:ind w:left="714"/>
        <w:rPr>
          <w:rFonts w:cs="Arial"/>
          <w:lang w:val="en" w:eastAsia="en-IE"/>
        </w:rPr>
      </w:pPr>
    </w:p>
    <w:p w14:paraId="1904BD0A" w14:textId="6A971607" w:rsidR="00E300D8" w:rsidRPr="0097748E" w:rsidRDefault="00E814CD" w:rsidP="0093656C">
      <w:pPr>
        <w:pStyle w:val="ListParagraph"/>
        <w:numPr>
          <w:ilvl w:val="0"/>
          <w:numId w:val="11"/>
        </w:numPr>
        <w:spacing w:before="0" w:after="100" w:afterAutospacing="1" w:line="276" w:lineRule="auto"/>
        <w:ind w:left="714" w:hanging="357"/>
        <w:rPr>
          <w:szCs w:val="24"/>
        </w:rPr>
      </w:pPr>
      <w:r>
        <w:rPr>
          <w:b/>
        </w:rPr>
        <w:t>Das Recht auf Datenmitnahme</w:t>
      </w:r>
      <w:r>
        <w:t xml:space="preserve">: Sie haben das Recht, uns aufzufordern, die Daten, die Sie uns bereitgestellt haben, ungehindert an Dritte weiterzuleiten oder Ihnen eine Kopie davon zukommen zu lassen, damit Sie diese Daten an einen Dritten übermitteln können. </w:t>
      </w:r>
    </w:p>
    <w:p w14:paraId="62265799" w14:textId="2B0F7CD8" w:rsidR="00CF4428" w:rsidRPr="0097748E" w:rsidRDefault="00CF4428" w:rsidP="0093656C">
      <w:pPr>
        <w:spacing w:before="100" w:beforeAutospacing="1" w:after="100" w:afterAutospacing="1" w:line="276" w:lineRule="auto"/>
        <w:ind w:left="360"/>
        <w:rPr>
          <w:szCs w:val="24"/>
        </w:rPr>
      </w:pPr>
      <w:r>
        <w:t>Wir werden Ihre Anfrage schriftlich oder auf Wunsch mündlich so bald wie möglich beantworten, spätestens jedoch innerhalb eines Monats nach Eingang Ihrer Anfrage. Wir verlangen zur Prüfung Ihrer Anfrage ggf. einen Identitätsnachweis. Alle Anfragen richten Sie bitte an PrivacyOfficial@teleflex.com.</w:t>
      </w:r>
    </w:p>
    <w:p w14:paraId="6C7F526D" w14:textId="2EEDB8CB" w:rsidR="00BC3A08" w:rsidRPr="0097748E" w:rsidRDefault="007951AE" w:rsidP="0093656C">
      <w:pPr>
        <w:spacing w:before="100" w:beforeAutospacing="1" w:after="100" w:afterAutospacing="1" w:line="276" w:lineRule="auto"/>
        <w:rPr>
          <w:szCs w:val="24"/>
        </w:rPr>
      </w:pPr>
      <w:r>
        <w:t xml:space="preserve">Sie haben das Recht, bei einer Datenaufsichtsbehörde eine Beschwerde einzureichen, insbesondere in dem Mitgliedstaat Ihres Wohnsitzes, Ihres Arbeitsplatzes oder des Orts des mutmaßlichen Verstoßes, wenn Sie der Ansicht sind, dass die Verarbeitung Ihrer Daten gegen die EU-Datenschutz-Grundverordnung verstößt. </w:t>
      </w:r>
    </w:p>
    <w:p w14:paraId="1256E8BB" w14:textId="08754B64" w:rsidR="00EC5051" w:rsidRPr="0097748E" w:rsidRDefault="00EC5051" w:rsidP="0093656C">
      <w:pPr>
        <w:spacing w:before="100" w:beforeAutospacing="1" w:after="100" w:afterAutospacing="1" w:line="276" w:lineRule="auto"/>
        <w:rPr>
          <w:b/>
        </w:rPr>
      </w:pPr>
      <w:r>
        <w:rPr>
          <w:b/>
        </w:rPr>
        <w:t>Sicherheit und Ort der Speicherung Ihrer personenbezogenen Daten</w:t>
      </w:r>
    </w:p>
    <w:p w14:paraId="61EA5DDE" w14:textId="16D9E212" w:rsidR="00EF386F" w:rsidRPr="0097748E" w:rsidRDefault="00EC5051" w:rsidP="0093656C">
      <w:pPr>
        <w:spacing w:before="100" w:beforeAutospacing="1" w:after="100" w:afterAutospacing="1" w:line="276" w:lineRule="auto"/>
        <w:rPr>
          <w:b/>
          <w:szCs w:val="24"/>
        </w:rPr>
      </w:pPr>
      <w:r>
        <w:t>Wir sind bemüht, die Sicherheit Ihrer Daten zu schützen. Wir verwenden verschiedene Sicherheitstechnologien und Verfahren, um Ihre Daten unter Berücksichtigung der Risiken bei der Verarbeitung zu schützen, insbesondere vor unbeabsichtigter oder unrechtmäßiger Vernichtung, Verlust, Veränderung, unerlaubter Weitergabe bzw. Zugriff zu übertragenen, gespeicherten und verwendeten personenbezogenen Daten. Wir verfügen über strenge interne Richtlinien, um die Sicherheit Ihrer Daten auf allen Ebenen unserer Organisation zu gewährleisten. Wir werden unsere Richtlinien weiter überprüfen und zusätzliche Sicherheitsfunktionen umsetzen, sobald neue Technologien verfügbar werden.</w:t>
      </w:r>
    </w:p>
    <w:p w14:paraId="6C5B6B17" w14:textId="6DD57DD0" w:rsidR="00CF4428" w:rsidRPr="0097748E" w:rsidRDefault="00A00B15" w:rsidP="0093656C">
      <w:pPr>
        <w:spacing w:before="100" w:beforeAutospacing="1" w:after="100" w:afterAutospacing="1" w:line="276" w:lineRule="auto"/>
        <w:rPr>
          <w:b/>
          <w:bCs/>
          <w:szCs w:val="27"/>
        </w:rPr>
      </w:pPr>
      <w:r>
        <w:rPr>
          <w:b/>
          <w:bCs/>
          <w:szCs w:val="27"/>
        </w:rPr>
        <w:t>Änderungen an dieser Datenschutzerklärung</w:t>
      </w:r>
    </w:p>
    <w:p w14:paraId="59B435D8" w14:textId="3248767F" w:rsidR="005B1D2A" w:rsidRPr="0097748E" w:rsidRDefault="00CF4428" w:rsidP="0093656C">
      <w:pPr>
        <w:spacing w:before="100" w:beforeAutospacing="1" w:after="100" w:afterAutospacing="1" w:line="276" w:lineRule="auto"/>
        <w:rPr>
          <w:szCs w:val="24"/>
        </w:rPr>
      </w:pPr>
      <w:r>
        <w:t xml:space="preserve">Wir behalten uns das Recht vor, diese Datenschutzerklärung bei Bedarf aus geschäftlichen oder betrieblichen Gründen zu ändern. Im Fall wesentlicher Änderungen werden wir schriftlichen Kontakt zum Unternehmen aufnehmen und Sie auf die Änderungen hinweisen. </w:t>
      </w:r>
    </w:p>
    <w:p w14:paraId="477D3BDB" w14:textId="77777777" w:rsidR="00CF4428" w:rsidRPr="0097748E" w:rsidRDefault="00CF4428" w:rsidP="0093656C">
      <w:pPr>
        <w:spacing w:before="100" w:beforeAutospacing="1" w:after="100" w:afterAutospacing="1" w:line="276" w:lineRule="auto"/>
        <w:rPr>
          <w:b/>
          <w:bCs/>
          <w:szCs w:val="27"/>
        </w:rPr>
      </w:pPr>
      <w:r>
        <w:rPr>
          <w:b/>
          <w:bCs/>
          <w:szCs w:val="27"/>
        </w:rPr>
        <w:t>Kontaktieren Sie uns</w:t>
      </w:r>
    </w:p>
    <w:p w14:paraId="5DD4E2C4" w14:textId="31C5D2CF" w:rsidR="00B44EB7" w:rsidRPr="0097748E" w:rsidRDefault="00CF4428" w:rsidP="0093656C">
      <w:pPr>
        <w:spacing w:before="100" w:beforeAutospacing="1" w:after="100" w:afterAutospacing="1" w:line="276" w:lineRule="auto"/>
      </w:pPr>
      <w:r>
        <w:t>Fragen, Hinweise, Aufforderungen und Beschwerden in Bezug auf diese Datenschutzerklärung und die von uns gespeicherten Informationen richten Sie bitte an folgende Adresse: PrivacyOfficial@teleflex.com.</w:t>
      </w:r>
    </w:p>
    <w:p w14:paraId="0FC32330" w14:textId="77777777" w:rsidR="00B44EB7" w:rsidRPr="0097748E" w:rsidRDefault="00B44EB7" w:rsidP="0093656C">
      <w:pPr>
        <w:spacing w:line="276" w:lineRule="auto"/>
      </w:pPr>
      <w:r>
        <w:br w:type="page"/>
      </w:r>
    </w:p>
    <w:p w14:paraId="1386956A" w14:textId="5AA640EF" w:rsidR="00A703A4" w:rsidRPr="0097748E" w:rsidRDefault="00B44EB7" w:rsidP="004A4055">
      <w:pPr>
        <w:spacing w:before="100" w:beforeAutospacing="1" w:after="100" w:afterAutospacing="1" w:line="276" w:lineRule="auto"/>
        <w:jc w:val="center"/>
        <w:rPr>
          <w:b/>
          <w:u w:val="single"/>
        </w:rPr>
      </w:pPr>
      <w:r>
        <w:rPr>
          <w:b/>
          <w:u w:val="single"/>
        </w:rPr>
        <w:lastRenderedPageBreak/>
        <w:t>ANHANG 1</w:t>
      </w:r>
    </w:p>
    <w:p w14:paraId="37160770" w14:textId="7464E37B" w:rsidR="00A703A4" w:rsidRPr="0097748E" w:rsidRDefault="003D1D38" w:rsidP="0093656C">
      <w:pPr>
        <w:spacing w:line="276" w:lineRule="auto"/>
      </w:pPr>
      <w:r>
        <w:t>Teleflex Medical Europe Limited</w:t>
      </w:r>
    </w:p>
    <w:p w14:paraId="1C7FF84A" w14:textId="5CF3EE8A" w:rsidR="003D1D38" w:rsidRPr="0097748E" w:rsidRDefault="003D1D38" w:rsidP="0093656C">
      <w:pPr>
        <w:spacing w:line="276" w:lineRule="auto"/>
      </w:pPr>
      <w:r>
        <w:t>Teleflex Medical BVBA</w:t>
      </w:r>
    </w:p>
    <w:p w14:paraId="7ECF8F47" w14:textId="57922892" w:rsidR="003D1D38" w:rsidRPr="0097748E" w:rsidRDefault="003D1D38" w:rsidP="0093656C">
      <w:pPr>
        <w:spacing w:line="276" w:lineRule="auto"/>
      </w:pPr>
      <w:r>
        <w:t xml:space="preserve">ARROW International CR, a.s. </w:t>
      </w:r>
    </w:p>
    <w:p w14:paraId="15131F2B" w14:textId="7BB887B5" w:rsidR="003D1D38" w:rsidRPr="0097748E" w:rsidRDefault="003D1D38" w:rsidP="0093656C">
      <w:pPr>
        <w:spacing w:line="276" w:lineRule="auto"/>
      </w:pPr>
      <w:r>
        <w:t>Teleflex Medical, s.r.o.</w:t>
      </w:r>
    </w:p>
    <w:p w14:paraId="1D2B43A1" w14:textId="77992158" w:rsidR="003D1D38" w:rsidRPr="0097748E" w:rsidRDefault="003D1D38" w:rsidP="0093656C">
      <w:pPr>
        <w:spacing w:line="276" w:lineRule="auto"/>
      </w:pPr>
      <w:r>
        <w:t>Teleflex Medical SAS</w:t>
      </w:r>
    </w:p>
    <w:p w14:paraId="308EF855" w14:textId="77777777" w:rsidR="00D051F0" w:rsidRDefault="00D051F0" w:rsidP="0093656C">
      <w:pPr>
        <w:spacing w:line="276" w:lineRule="auto"/>
      </w:pPr>
      <w:r>
        <w:t>Teleflex Medical, S.A.</w:t>
      </w:r>
    </w:p>
    <w:p w14:paraId="48A11A70" w14:textId="77D9A6B3" w:rsidR="003D1D38" w:rsidRPr="0097748E" w:rsidRDefault="003D1D38" w:rsidP="0093656C">
      <w:pPr>
        <w:spacing w:line="276" w:lineRule="auto"/>
      </w:pPr>
      <w:r>
        <w:t>Teleflex Medical GmbH</w:t>
      </w:r>
    </w:p>
    <w:p w14:paraId="556DD4D8" w14:textId="528A4C30" w:rsidR="003D1D38" w:rsidRPr="0097748E" w:rsidRDefault="003D1D38" w:rsidP="0093656C">
      <w:pPr>
        <w:spacing w:line="276" w:lineRule="auto"/>
      </w:pPr>
      <w:r>
        <w:t>Teleflex Medical Hellas s.a.</w:t>
      </w:r>
    </w:p>
    <w:p w14:paraId="1E99C0D4" w14:textId="6E6F665F" w:rsidR="003D1D38" w:rsidRPr="0097748E" w:rsidRDefault="003D1D38" w:rsidP="0093656C">
      <w:pPr>
        <w:spacing w:line="276" w:lineRule="auto"/>
      </w:pPr>
      <w:r>
        <w:t>Teleflex Medical B.V.</w:t>
      </w:r>
    </w:p>
    <w:p w14:paraId="42B73CB4" w14:textId="336733A4" w:rsidR="003D1D38" w:rsidRPr="0097748E" w:rsidRDefault="003D1D38" w:rsidP="0093656C">
      <w:pPr>
        <w:spacing w:line="276" w:lineRule="auto"/>
      </w:pPr>
      <w:r>
        <w:t>Teleflex Polska sp. z o.o.</w:t>
      </w:r>
    </w:p>
    <w:p w14:paraId="1934EF79" w14:textId="6BD461B7" w:rsidR="003D1D38" w:rsidRDefault="003D1D38" w:rsidP="0093656C">
      <w:pPr>
        <w:spacing w:line="276" w:lineRule="auto"/>
      </w:pPr>
      <w:r>
        <w:t>TFX Group Limited</w:t>
      </w:r>
    </w:p>
    <w:p w14:paraId="7EB2BF71" w14:textId="5616A3FE" w:rsidR="00D051F0" w:rsidRPr="0097748E" w:rsidRDefault="00D051F0" w:rsidP="0093656C">
      <w:pPr>
        <w:spacing w:line="276" w:lineRule="auto"/>
      </w:pPr>
      <w:r>
        <w:t>NeoTract, Inc.</w:t>
      </w:r>
    </w:p>
    <w:p w14:paraId="67AC5E30" w14:textId="77777777" w:rsidR="00CF4428" w:rsidRPr="0097748E" w:rsidRDefault="00CF4428" w:rsidP="0093656C">
      <w:pPr>
        <w:spacing w:before="100" w:beforeAutospacing="1" w:after="100" w:afterAutospacing="1" w:line="276" w:lineRule="auto"/>
        <w:rPr>
          <w:b/>
          <w:u w:val="single"/>
        </w:rPr>
      </w:pPr>
    </w:p>
    <w:p w14:paraId="167FCC43" w14:textId="77777777" w:rsidR="003D1D38" w:rsidRPr="0097748E" w:rsidRDefault="003D1D38" w:rsidP="0093656C">
      <w:pPr>
        <w:spacing w:before="100" w:beforeAutospacing="1" w:after="100" w:afterAutospacing="1" w:line="276" w:lineRule="auto"/>
        <w:rPr>
          <w:b/>
          <w:u w:val="single"/>
        </w:rPr>
      </w:pPr>
      <w:r>
        <w:br w:type="page"/>
      </w:r>
    </w:p>
    <w:p w14:paraId="1935F81A" w14:textId="49BA98AC" w:rsidR="00B44EB7" w:rsidRPr="0097748E" w:rsidRDefault="00B44EB7" w:rsidP="004A4055">
      <w:pPr>
        <w:spacing w:before="100" w:beforeAutospacing="1" w:after="100" w:afterAutospacing="1" w:line="240" w:lineRule="auto"/>
        <w:jc w:val="center"/>
        <w:rPr>
          <w:b/>
          <w:u w:val="single"/>
        </w:rPr>
      </w:pPr>
      <w:r>
        <w:rPr>
          <w:b/>
          <w:u w:val="single"/>
        </w:rPr>
        <w:lastRenderedPageBreak/>
        <w:t>ANHANG 2</w:t>
      </w:r>
    </w:p>
    <w:p w14:paraId="71D33F5E" w14:textId="77777777" w:rsidR="009E186A" w:rsidRPr="009E186A" w:rsidRDefault="009E186A" w:rsidP="0093656C">
      <w:pPr>
        <w:spacing w:before="0" w:line="240" w:lineRule="auto"/>
        <w:rPr>
          <w:rFonts w:ascii="Verdana" w:hAnsi="Verdana"/>
          <w:sz w:val="16"/>
          <w:szCs w:val="16"/>
        </w:rPr>
      </w:pPr>
      <w:r>
        <w:rPr>
          <w:rFonts w:ascii="Verdana" w:hAnsi="Verdana"/>
          <w:b/>
          <w:bCs/>
          <w:i/>
          <w:iCs/>
          <w:color w:val="000066"/>
          <w:sz w:val="16"/>
          <w:szCs w:val="16"/>
        </w:rPr>
        <w:t>Exportbezogene Personensperrlisten</w:t>
      </w:r>
    </w:p>
    <w:p w14:paraId="5032E7F7"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Denied Persons List des US-Handelsministeriums [BIS]</w:t>
      </w:r>
    </w:p>
    <w:p w14:paraId="4BF9E172"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Entity List des US-Handelsministeriums [BIS]</w:t>
      </w:r>
    </w:p>
    <w:p w14:paraId="4C4AAFC6"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„Unverified“ List des US-Handelsministeriums [BIS]</w:t>
      </w:r>
    </w:p>
    <w:p w14:paraId="68462534"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Liste Debarred Parties des US-Außenministeriums nach dem Waffenexportkontrollgesetz [DDTC]</w:t>
      </w:r>
    </w:p>
    <w:p w14:paraId="660E39C5"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Cuba Restricted List des US-Außenministeriums</w:t>
      </w:r>
    </w:p>
    <w:p w14:paraId="4ACB1A66"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Nichtverbreitungsverordnungen des US-Außenministeriums </w:t>
      </w:r>
    </w:p>
    <w:p w14:paraId="6CC0A11B" w14:textId="77777777" w:rsidR="009E186A" w:rsidRPr="009E186A" w:rsidRDefault="009E186A" w:rsidP="0093656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Executive Order 13382</w:t>
      </w:r>
    </w:p>
    <w:p w14:paraId="34F171C9" w14:textId="77777777" w:rsidR="009E186A" w:rsidRPr="009E186A" w:rsidRDefault="009E186A" w:rsidP="0093656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Nichtverbreitungsgesetz zu Iran und Syrien</w:t>
      </w:r>
    </w:p>
    <w:p w14:paraId="2DA6F1EE" w14:textId="77777777" w:rsidR="009E186A" w:rsidRPr="009E186A" w:rsidRDefault="009E186A" w:rsidP="0093656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Executive Order 12938, in der geänderten Fassung</w:t>
      </w:r>
    </w:p>
    <w:p w14:paraId="789BFCFE" w14:textId="77777777" w:rsidR="009E186A" w:rsidRPr="009E186A" w:rsidRDefault="009E186A" w:rsidP="0093656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Gesetze über Sanktionen gegen die Verbreitung von Raketentechnologien</w:t>
      </w:r>
    </w:p>
    <w:p w14:paraId="13458BB2" w14:textId="77777777" w:rsidR="009E186A" w:rsidRPr="009E186A" w:rsidRDefault="009E186A" w:rsidP="0093656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Gesetze über Sanktionen gegen die Verbreitung chemischer und biologischer Waffen</w:t>
      </w:r>
    </w:p>
    <w:p w14:paraId="6E0CE309" w14:textId="77777777" w:rsidR="009E186A" w:rsidRPr="009E186A" w:rsidRDefault="009E186A" w:rsidP="0093656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Sanktionen gegen die Weitergabe von tödlicher militärischer Ausrüstung</w:t>
      </w:r>
    </w:p>
    <w:p w14:paraId="7F6EB305" w14:textId="77777777" w:rsidR="009E186A" w:rsidRPr="009E186A" w:rsidRDefault="009E186A" w:rsidP="0093656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Sanktionen zum Nichtverbreitungsgesetz für Iran, Nordkorea und (INKSNA)</w:t>
      </w:r>
    </w:p>
    <w:p w14:paraId="54D6D674" w14:textId="77777777" w:rsidR="009E186A" w:rsidRPr="009E186A" w:rsidRDefault="009E186A" w:rsidP="0093656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Gesetz über Sanktionen gegen den Iran (ISA) und Gesetz über die Reduzierung der iranischen Bedrohung und die Menschenrechte in Syrien (TRA)</w:t>
      </w:r>
    </w:p>
    <w:p w14:paraId="50EE01EC" w14:textId="77777777" w:rsidR="009E186A" w:rsidRPr="009E186A" w:rsidRDefault="009E186A" w:rsidP="0093656C">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CAATSA Section 231(d) Bereiche Verteidigung und Geheimdienst der Regierung der Russischen Föderation</w:t>
      </w:r>
    </w:p>
    <w:p w14:paraId="55CC9625"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Verordnungen des US-Außenministeriums über Munitionsexportkontrolle [DDTC] </w:t>
      </w:r>
    </w:p>
    <w:p w14:paraId="24A8FA5C"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Bezeichnungen zur Handelskontrolle von Massenvernichtungswaffen [OFAC] </w:t>
      </w:r>
    </w:p>
    <w:p w14:paraId="01996B00"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Designated Terrorist Organizations des US-Außenministeriums </w:t>
      </w:r>
    </w:p>
    <w:p w14:paraId="75AA8EBA"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Terrorist Exclusion List des US-Außenministeriums </w:t>
      </w:r>
    </w:p>
    <w:p w14:paraId="2B326A76"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Palestinian Legislative Council List des US-Finanzministeriums [OFAC] </w:t>
      </w:r>
    </w:p>
    <w:p w14:paraId="482AFDAB" w14:textId="77777777" w:rsidR="009E186A" w:rsidRPr="009E186A" w:rsidRDefault="009E186A" w:rsidP="0093656C">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US-Bundesregister Allgemeine Verordnungen </w:t>
      </w:r>
    </w:p>
    <w:p w14:paraId="345269EE" w14:textId="77777777" w:rsidR="009E186A" w:rsidRPr="009E186A" w:rsidRDefault="009E186A" w:rsidP="0093656C">
      <w:pPr>
        <w:spacing w:before="0" w:line="240" w:lineRule="auto"/>
        <w:rPr>
          <w:rFonts w:ascii="Verdana" w:hAnsi="Verdana"/>
          <w:sz w:val="16"/>
          <w:szCs w:val="16"/>
        </w:rPr>
      </w:pPr>
      <w:r>
        <w:rPr>
          <w:rFonts w:ascii="Verdana" w:hAnsi="Verdana"/>
          <w:b/>
          <w:bCs/>
          <w:i/>
          <w:iCs/>
          <w:color w:val="000066"/>
          <w:sz w:val="16"/>
          <w:szCs w:val="16"/>
        </w:rPr>
        <w:t>Sanktionsprogrammbezogene Personensperrlisten</w:t>
      </w:r>
    </w:p>
    <w:p w14:paraId="58B69D03" w14:textId="77777777" w:rsidR="009E186A" w:rsidRPr="009E186A" w:rsidRDefault="009E186A" w:rsidP="0093656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Specially Designated Nationals List und Blocked Persons List des US-Finanzministeriums, einschließlich Kuba und Handelsschiffe, Iran, Irak und Handelsschiffe, gesperrte Schiffe Sudan [OFAC] </w:t>
      </w:r>
    </w:p>
    <w:p w14:paraId="70B255DA" w14:textId="77777777" w:rsidR="009E186A" w:rsidRPr="009E186A" w:rsidRDefault="009E186A" w:rsidP="0093656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Specially Designated Terrorist Organizations and Individuals List des US-Finanzministeriums </w:t>
      </w:r>
    </w:p>
    <w:p w14:paraId="04947D44" w14:textId="77777777" w:rsidR="009E186A" w:rsidRPr="009E186A" w:rsidRDefault="009E186A" w:rsidP="0093656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Specially Designated Narcotic Traffickers and Narcotics Kingpins List des US-Finanzministeriums </w:t>
      </w:r>
    </w:p>
    <w:p w14:paraId="4F9650ED" w14:textId="77777777" w:rsidR="009E186A" w:rsidRPr="009E186A" w:rsidRDefault="009E186A" w:rsidP="0093656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Foreign Narcotics Kingpins des US-Finanzministeriums </w:t>
      </w:r>
    </w:p>
    <w:p w14:paraId="54AB68EA" w14:textId="77777777" w:rsidR="009E186A" w:rsidRPr="009E186A" w:rsidRDefault="009E186A" w:rsidP="0093656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Sanctions Related to Significant Malicious Cyber-Enabled Activities des US-Finanzministeriums </w:t>
      </w:r>
    </w:p>
    <w:p w14:paraId="4EE4CA86" w14:textId="77777777" w:rsidR="009E186A" w:rsidRPr="009E186A" w:rsidRDefault="009E186A" w:rsidP="0093656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List of Foreign Financial Institutions Subject to Part 561 </w:t>
      </w:r>
    </w:p>
    <w:p w14:paraId="3A3A57A3" w14:textId="77777777" w:rsidR="009E186A" w:rsidRPr="009E186A" w:rsidRDefault="009E186A" w:rsidP="0093656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Foreign Sanctions Evaders List des US-Finanzministeriums (FSE-IR, FSE-SY) [OFAC] </w:t>
      </w:r>
    </w:p>
    <w:p w14:paraId="6B40E3B3" w14:textId="77777777" w:rsidR="009E186A" w:rsidRPr="009E186A" w:rsidRDefault="009E186A" w:rsidP="0093656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Sectoral Sanctions Identifications List des US-Finanzministeriums (UKRAINE-EO13662) [OFAC] </w:t>
      </w:r>
    </w:p>
    <w:p w14:paraId="336C41EA" w14:textId="77777777" w:rsidR="009E186A" w:rsidRPr="009E186A" w:rsidRDefault="009E186A" w:rsidP="0093656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List of Persons Identified as Blocked Solely Pursuant to Executive Order 13599 des US-Finanzministeriums [OFAC] </w:t>
      </w:r>
    </w:p>
    <w:p w14:paraId="5B297976" w14:textId="77777777" w:rsidR="009E186A" w:rsidRPr="009E186A" w:rsidRDefault="009E186A" w:rsidP="0093656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Konsolidierte Liste der Vereinten Nationen </w:t>
      </w:r>
    </w:p>
    <w:p w14:paraId="61257A55" w14:textId="77777777" w:rsidR="009E186A" w:rsidRPr="009E186A" w:rsidRDefault="009E186A" w:rsidP="0093656C">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Vom Sicherheitsrat gemäß den UN-Resolutionen 751 (1992) und 1907 (2009) in Bezug auf Somalia und Eritrea, 1267 (1999) und 1989 (2011) in Bezug auf Al-Qaida und verbundene Einzelpersonen und Einrichtungen, 1518 (2003), 1521 (2003) in Bezug auf Liberia, 1533 (2004) in Bezug auf die Demokratische Republik Kongo, 1572 (2004) in Bezug auf die Elfenbeinküste, 1591 (2005) in Bezug auf den Sudan, 1718 (2006), 1737 (2006), 1970 (2011) in Bezug auf Libyen, 1988 (2011) und 2048 (2012) in Bezug auf Guinea-Bissau auferlegte UN-Sanktionsmaßnahmen (Einfrieren von Vermögen, Einreiseverbot oder Waffenembargo). </w:t>
      </w:r>
    </w:p>
    <w:p w14:paraId="75D3003E" w14:textId="77777777" w:rsidR="009E186A" w:rsidRPr="009E186A" w:rsidRDefault="009E186A" w:rsidP="0093656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Schiffe mit UN-Hafenverbot </w:t>
      </w:r>
    </w:p>
    <w:p w14:paraId="3ABD43E8" w14:textId="77777777" w:rsidR="009E186A" w:rsidRPr="009E186A" w:rsidRDefault="009E186A" w:rsidP="0093656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OMM-Schiffe auf der schwarzen Liste in Anhang III zur UN-Resolution 2270 (2016) </w:t>
      </w:r>
    </w:p>
    <w:p w14:paraId="09E2FF04" w14:textId="77777777" w:rsidR="009E186A" w:rsidRPr="009E186A" w:rsidRDefault="009E186A" w:rsidP="0093656C">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Schiffe auf der UN-Sperrliste gemäß Resolution 1718 und 2270 </w:t>
      </w:r>
    </w:p>
    <w:p w14:paraId="645DE6DC" w14:textId="0D351B68" w:rsidR="009E186A" w:rsidRPr="009E186A" w:rsidRDefault="009E186A" w:rsidP="0093656C">
      <w:pPr>
        <w:spacing w:before="0" w:line="240" w:lineRule="auto"/>
        <w:rPr>
          <w:rFonts w:ascii="Verdana" w:hAnsi="Verdana"/>
          <w:sz w:val="16"/>
          <w:szCs w:val="16"/>
        </w:rPr>
      </w:pPr>
      <w:r>
        <w:rPr>
          <w:rFonts w:ascii="Verdana" w:hAnsi="Verdana"/>
          <w:b/>
          <w:bCs/>
          <w:i/>
          <w:iCs/>
          <w:color w:val="000066"/>
          <w:sz w:val="16"/>
          <w:szCs w:val="16"/>
        </w:rPr>
        <w:t>General Services Administration</w:t>
      </w:r>
      <w:r>
        <w:rPr>
          <w:rFonts w:ascii="Verdana" w:hAnsi="Verdana"/>
          <w:sz w:val="16"/>
          <w:szCs w:val="16"/>
        </w:rPr>
        <w:t> </w:t>
      </w:r>
      <w:hyperlink r:id="rId7" w:history="1">
        <w:r>
          <w:rPr>
            <w:rFonts w:ascii="Verdana" w:hAnsi="Verdana"/>
            <w:color w:val="05058C"/>
            <w:sz w:val="14"/>
            <w:szCs w:val="14"/>
          </w:rPr>
          <w:t>GSA Federal Agency und Cause and Treatment Codes</w:t>
        </w:r>
      </w:hyperlink>
    </w:p>
    <w:p w14:paraId="016E7EC9" w14:textId="77777777" w:rsidR="009E186A" w:rsidRPr="009E186A" w:rsidRDefault="009E186A" w:rsidP="0093656C">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Liste der US-Bundesbehörde General Services Administration der von Beschaffungsprogrammen des Bundes ausgeschlossenen Parteien [SAM/EPLS] </w:t>
      </w:r>
    </w:p>
    <w:p w14:paraId="070297F9" w14:textId="77777777" w:rsidR="009E186A" w:rsidRPr="009E186A" w:rsidRDefault="009E186A" w:rsidP="0093656C">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Liste der US-Bundesbehörde General Services Administration der von Nichtbeschaffungsprogrammen des Bundes ausgeschlossenen Parteien [SAM/EPLS] </w:t>
      </w:r>
    </w:p>
    <w:p w14:paraId="098CF2B8" w14:textId="77777777" w:rsidR="009E186A" w:rsidRPr="009E186A" w:rsidRDefault="009E186A" w:rsidP="0093656C">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Liste der US-Bundesbehörde General Services Administration der von wechselseitigen Programmen des Bundes ausgeschlossenen Parteien [SAM/EPLS] </w:t>
      </w:r>
    </w:p>
    <w:p w14:paraId="625D4B61" w14:textId="77777777" w:rsidR="0093656C" w:rsidRDefault="0093656C" w:rsidP="0093656C">
      <w:pPr>
        <w:spacing w:before="0" w:line="240" w:lineRule="auto"/>
        <w:rPr>
          <w:rFonts w:ascii="Verdana" w:hAnsi="Verdana"/>
          <w:b/>
          <w:bCs/>
          <w:i/>
          <w:iCs/>
          <w:color w:val="000066"/>
          <w:sz w:val="16"/>
          <w:szCs w:val="16"/>
        </w:rPr>
      </w:pPr>
    </w:p>
    <w:p w14:paraId="5BD52D92" w14:textId="77777777" w:rsidR="0093656C" w:rsidRDefault="0093656C" w:rsidP="0093656C">
      <w:pPr>
        <w:spacing w:before="0" w:line="240" w:lineRule="auto"/>
        <w:rPr>
          <w:rFonts w:ascii="Verdana" w:hAnsi="Verdana"/>
          <w:b/>
          <w:bCs/>
          <w:i/>
          <w:iCs/>
          <w:color w:val="000066"/>
          <w:sz w:val="16"/>
          <w:szCs w:val="16"/>
        </w:rPr>
      </w:pPr>
    </w:p>
    <w:p w14:paraId="7214BCF8" w14:textId="77777777" w:rsidR="0093656C" w:rsidRDefault="0093656C" w:rsidP="0093656C">
      <w:pPr>
        <w:spacing w:before="0" w:line="240" w:lineRule="auto"/>
        <w:rPr>
          <w:rFonts w:ascii="Verdana" w:hAnsi="Verdana"/>
          <w:b/>
          <w:bCs/>
          <w:i/>
          <w:iCs/>
          <w:color w:val="000066"/>
          <w:sz w:val="16"/>
          <w:szCs w:val="16"/>
        </w:rPr>
      </w:pPr>
    </w:p>
    <w:p w14:paraId="7F4831DA" w14:textId="33F250DB" w:rsidR="009E186A" w:rsidRPr="009E186A" w:rsidRDefault="009E186A" w:rsidP="00573947">
      <w:pPr>
        <w:pageBreakBefore/>
        <w:spacing w:before="0" w:line="240" w:lineRule="auto"/>
        <w:rPr>
          <w:rFonts w:ascii="Verdana" w:hAnsi="Verdana"/>
          <w:sz w:val="16"/>
          <w:szCs w:val="16"/>
        </w:rPr>
      </w:pPr>
      <w:r>
        <w:rPr>
          <w:rFonts w:ascii="Verdana" w:hAnsi="Verdana"/>
          <w:b/>
          <w:bCs/>
          <w:i/>
          <w:iCs/>
          <w:color w:val="000066"/>
          <w:sz w:val="16"/>
          <w:szCs w:val="16"/>
        </w:rPr>
        <w:lastRenderedPageBreak/>
        <w:t>Listen der zur Strafverfolgung gesuchten Personen</w:t>
      </w:r>
    </w:p>
    <w:p w14:paraId="0FAD78D0"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Air Force Office of Special Investigations - Top Ten Fugitives </w:t>
      </w:r>
    </w:p>
    <w:p w14:paraId="0D0081FB"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Mit vier Schwerpunkten: für Spionageabwehraktivitäten zum Schutz der Streitkräfte, zur Lösung von Gewaltverbrechen mit Auswirkungen auf die Luftwaffe, zur Bekämpfung von Bedrohungen gegen die Informationssysteme und -technologien der Luftwaffe und zur Bekämpfung von Beschaffungsbetrug. </w:t>
      </w:r>
    </w:p>
    <w:p w14:paraId="6787396C"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Bureau of Alcohol, Tobacco, Firearms and Explosives Most Wanted </w:t>
      </w:r>
    </w:p>
    <w:p w14:paraId="49B2C9C3"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Zur Durchsetzung der US-Bundesgesetze und -Bestimmungen in Bezug auf Alkohol, Tabakprodukte, Schusswaffen, Sprengstoffe und Brandstiftung. </w:t>
      </w:r>
    </w:p>
    <w:p w14:paraId="6AF31C66"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Ten Most Wanted Fugitives </w:t>
      </w:r>
    </w:p>
    <w:p w14:paraId="0B9557BD"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Die Ermittlungstätigkeit umfasst die Kategorien Bewerberangelegenheiten, Bürgerrechte, Terrorismusbekämpfung, Abwehr ausländischer Spionage, organisierte Kriminalität/Drogen, Gewaltkriminalität und wichtige Straftäter sowie Finanzkriminalität. </w:t>
      </w:r>
    </w:p>
    <w:p w14:paraId="7B53A9AD"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Most Wanted Terrorists </w:t>
      </w:r>
    </w:p>
    <w:p w14:paraId="53A13EA5"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Listen mutmaßlicher Terroristen, die vor amtierenden Großen Bundesgeschworenengerichten in mehreren US-Bundesstaaten aufgrund der im Fahndungsplakat angegebenen Straftaten angeklagt sind. </w:t>
      </w:r>
    </w:p>
    <w:p w14:paraId="6BED0FE3"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Wanted Fugitives </w:t>
      </w:r>
    </w:p>
    <w:p w14:paraId="00877067"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Kidnappings and Missing Persons </w:t>
      </w:r>
    </w:p>
    <w:p w14:paraId="66EFD956"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Seeking Information </w:t>
      </w:r>
    </w:p>
    <w:p w14:paraId="1A71A1BF"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Clinical Investigators </w:t>
      </w:r>
    </w:p>
    <w:p w14:paraId="1456D1BD"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Disqualified and Restricted </w:t>
      </w:r>
    </w:p>
    <w:p w14:paraId="61B8FFB9"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Debarment List </w:t>
      </w:r>
    </w:p>
    <w:p w14:paraId="113741AA"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Personen, die aufgrund wissenschaftlichen Fehlverhaltens mehreren Beschränkungen der US-Nahrungs- und Arzneimittelbehörde (FDA) unterliegen. </w:t>
      </w:r>
    </w:p>
    <w:p w14:paraId="0FDEC7FD"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Department of Homeland Security Investigations Most Wanted </w:t>
      </w:r>
    </w:p>
    <w:p w14:paraId="70AAF559"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Terrorismus, Drogenschmuggel, Geldwäsche, Menschenhandel/-schmuggel, Verstöße gegen Import-/Exportgesetze, Kinderpornografie/-ausbeutung, Dokumentenschwindel und Sozialbetrug, Bandenkriminalität, Verstöße gegen geistige Eigentumsrechte, Verstöße gegen Arbeitsgesetze. </w:t>
      </w:r>
    </w:p>
    <w:p w14:paraId="69933943"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Naval Criminal Investigative Service - Wanted Fugitives </w:t>
      </w:r>
    </w:p>
    <w:p w14:paraId="5008A8C3"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Diese Behörde führt Ermittlungen in Bezug auf schwere Straftaten und zur Spionageabwehr für das Marineministerium sowie zum Management von Marinesicherheitsprogrammen durch. </w:t>
      </w:r>
    </w:p>
    <w:p w14:paraId="773F307B"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Immigration and Customs Enforcement and Removal Operations Most Wanted </w:t>
      </w:r>
    </w:p>
    <w:p w14:paraId="4E33D140"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Aufgabe der US-Behörde Immigration and Customs Enforcement (ICE) ist die Durchsetzung von Bundesgesetzen in Bezug auf Grenzkontrolle, Zoll, Handel und Einwanderung zur Förderung des Heimatschutzes und der öffentlichen Sicherheit. </w:t>
      </w:r>
    </w:p>
    <w:p w14:paraId="34EF53C0"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Drug Enforcement Administration - Major International Fugitives </w:t>
      </w:r>
    </w:p>
    <w:p w14:paraId="5C6CBBDF"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Aufgabe dieser US-Bundesbehörde ist die Durchsetzung von Gesetzen und Verordnungen der USA über Suchtmittel und die straf- und zivilrechtliche Verfolgung von Einrichtungen und Einzelpersonen, die am Anbau, der Herstellung oder dem Vertrieb von Suchtmitteln in den USA oder mit Bestimmungsgebiet USA beteiligt sind. </w:t>
      </w:r>
    </w:p>
    <w:p w14:paraId="52705305"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Marshals Service - Top 15 Most Wanted </w:t>
      </w:r>
    </w:p>
    <w:p w14:paraId="3A2DCE11"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Marshals Service - Major Fugitive Cases </w:t>
      </w:r>
    </w:p>
    <w:p w14:paraId="0A47478F"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Diese US-Bundesbehörde ist an fast allen Maßnahmen zur Durchsetzung von Bundesgesetzen beteiligt. Die Listen Major Fugitive Cases und Top 15 Most Wanted des U.S. Marshals Service enthalten Personen, die wegen Gewaltverbrechen vorbestraft und als bewaffnet und gefährlich anzusehen sind. </w:t>
      </w:r>
    </w:p>
    <w:p w14:paraId="6B90E335" w14:textId="77777777" w:rsidR="009E186A" w:rsidRPr="009E186A" w:rsidRDefault="009E186A" w:rsidP="0093656C">
      <w:pPr>
        <w:numPr>
          <w:ilvl w:val="0"/>
          <w:numId w:val="16"/>
        </w:numPr>
        <w:spacing w:before="100" w:beforeAutospacing="1" w:after="100" w:afterAutospacing="1" w:line="240" w:lineRule="auto"/>
        <w:rPr>
          <w:rFonts w:ascii="Verdana" w:hAnsi="Verdana"/>
          <w:b/>
          <w:bCs/>
          <w:sz w:val="16"/>
          <w:szCs w:val="16"/>
        </w:rPr>
      </w:pPr>
      <w:r>
        <w:rPr>
          <w:rFonts w:ascii="Verdana" w:hAnsi="Verdana"/>
          <w:sz w:val="16"/>
          <w:szCs w:val="16"/>
        </w:rPr>
        <w:t>U.S. Secret Service - Most Wanted</w:t>
      </w:r>
      <w:r>
        <w:rPr>
          <w:rFonts w:ascii="Verdana" w:hAnsi="Verdana"/>
          <w:b/>
          <w:bCs/>
          <w:sz w:val="16"/>
          <w:szCs w:val="16"/>
        </w:rPr>
        <w:t xml:space="preserve"> </w:t>
      </w:r>
    </w:p>
    <w:p w14:paraId="3069532E"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Aufgaben des Secret Service der USA sind Schutz und Ermittlung in Strafsachen. Bei der Ermittlung in Strafsachen ist der Secret Service zuständig für die Durchsetzung der Gesetze in Bezug auf die Fälschung von Anleihen und Wertpapieren der USA, die Ermittlung bei Finanzverbrechen, einschließlich Zugangsgerätebetrug, Finanzinstitutsbetrug, Identitätsdiebstahl, Computerbetrug, Telekommunikationsbetrug und computerbasierte Angriffe auf die staatliche Finanz-, Banken- und Telekommunikationsinfrastruktur (ohne Beschränkung darauf). </w:t>
      </w:r>
    </w:p>
    <w:p w14:paraId="53A8C6FA"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Office of Research Integrity Administrative Actions </w:t>
      </w:r>
    </w:p>
    <w:p w14:paraId="0CE658AA"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Diese vom Public Health Service (PHS) geführte Liste enthält die Namen der Personen, denen vom Office of Research Integrity (ORI) Verwaltungsstrafen auferlegt wurden. Das Assistant Secretary for Health (ASH) trifft die endgültige PHS-Entscheidung über die Ermittlungsergebnisse in Bezug auf Fehlverhalten in der Forschung und die Auferlegung von Verwaltungsstrafen nach Prüfung der Empfehlungen des ORI. </w:t>
      </w:r>
    </w:p>
    <w:p w14:paraId="7BE41E30" w14:textId="77777777" w:rsidR="009E186A" w:rsidRPr="009E186A" w:rsidRDefault="009E186A" w:rsidP="0093656C">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Postal Inspection Service - Most Wanted </w:t>
      </w:r>
    </w:p>
    <w:p w14:paraId="79670C9F" w14:textId="77777777" w:rsidR="009E186A" w:rsidRPr="009E186A" w:rsidRDefault="009E186A" w:rsidP="0093656C">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Diese US-Bundesbehörde hat wichtige Kompetenzen in Bereichen wie Überfälle, Bomben, Suchtmittel, elektronische Kriminalität, Postbetrug und Geldwäsche. </w:t>
      </w:r>
    </w:p>
    <w:p w14:paraId="015C3344" w14:textId="77777777" w:rsidR="009E186A" w:rsidRPr="009E186A" w:rsidRDefault="009E186A" w:rsidP="0093656C">
      <w:pPr>
        <w:spacing w:before="0" w:line="240" w:lineRule="auto"/>
        <w:rPr>
          <w:rFonts w:ascii="Verdana" w:hAnsi="Verdana"/>
          <w:sz w:val="16"/>
          <w:szCs w:val="16"/>
        </w:rPr>
      </w:pPr>
      <w:r>
        <w:rPr>
          <w:rFonts w:ascii="Verdana" w:hAnsi="Verdana"/>
          <w:b/>
          <w:bCs/>
          <w:i/>
          <w:iCs/>
          <w:color w:val="000066"/>
          <w:sz w:val="16"/>
          <w:szCs w:val="16"/>
        </w:rPr>
        <w:t>Politisch exponierte Personen und Office of Inspector General</w:t>
      </w:r>
    </w:p>
    <w:p w14:paraId="492762C9" w14:textId="77777777" w:rsidR="009E186A" w:rsidRPr="009E186A" w:rsidRDefault="009E186A" w:rsidP="0093656C">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Staatschefs und Kabinettsmitglieder ausländischer Regierungen [Central Intelligence Agency] </w:t>
      </w:r>
    </w:p>
    <w:p w14:paraId="0705A3DF" w14:textId="77777777" w:rsidR="009E186A" w:rsidRPr="009E186A" w:rsidRDefault="009E186A" w:rsidP="0093656C">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Hohe politische Persönlichkeiten und Oligarchen in der Russischen Föderation [„Putin-Liste“] </w:t>
      </w:r>
    </w:p>
    <w:p w14:paraId="7E6C61B3" w14:textId="77777777" w:rsidR="009E186A" w:rsidRPr="009E186A" w:rsidRDefault="009E186A" w:rsidP="0093656C">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Liste des Office of Inspector General mit den Personen/Einrichtungen, die von Bundesgesundheits- und Medicare-Programmen ausgeschlossen sind </w:t>
      </w:r>
    </w:p>
    <w:p w14:paraId="1EECF901" w14:textId="77777777" w:rsidR="009E186A" w:rsidRPr="009E186A" w:rsidRDefault="009E186A" w:rsidP="00573947">
      <w:pPr>
        <w:pageBreakBefore/>
        <w:spacing w:before="0" w:line="240" w:lineRule="auto"/>
        <w:rPr>
          <w:rFonts w:ascii="Verdana" w:hAnsi="Verdana"/>
          <w:sz w:val="16"/>
          <w:szCs w:val="16"/>
        </w:rPr>
      </w:pPr>
      <w:r>
        <w:rPr>
          <w:rFonts w:ascii="Verdana" w:hAnsi="Verdana"/>
          <w:b/>
          <w:bCs/>
          <w:i/>
          <w:iCs/>
          <w:color w:val="000066"/>
          <w:sz w:val="16"/>
          <w:szCs w:val="16"/>
        </w:rPr>
        <w:lastRenderedPageBreak/>
        <w:t>Internationale Listen von Terroristen, gesperrten oder gesuchten Personen und Einrichtungen</w:t>
      </w:r>
    </w:p>
    <w:p w14:paraId="04196146"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Konsolidierte Liste der Europäischen Union </w:t>
      </w:r>
    </w:p>
    <w:p w14:paraId="5CB57FF6" w14:textId="77777777" w:rsidR="009E186A" w:rsidRPr="009E186A" w:rsidRDefault="009E186A" w:rsidP="0093656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Die Konsolidierte Liste der Europäischen Union, plus Personen und Einrichtungen der Europäischen Union, die nach den Verordnungen des Rats der Europäischen Union restriktiven Maßnahmen unterliegen. </w:t>
      </w:r>
    </w:p>
    <w:p w14:paraId="39FAEFC9"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Europol Most Wanted Fugitives </w:t>
      </w:r>
    </w:p>
    <w:p w14:paraId="6ACDCFAD"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Interpol Recently Wanted </w:t>
      </w:r>
    </w:p>
    <w:p w14:paraId="74A521FF" w14:textId="77777777" w:rsidR="009E186A" w:rsidRPr="009E186A" w:rsidRDefault="009E186A" w:rsidP="0093656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Diese Liste enthält Personen, die von einzelstaatlichen Behörden gesucht werden. </w:t>
      </w:r>
    </w:p>
    <w:p w14:paraId="7E16211A"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Japan Foreign End-Users of Concern </w:t>
      </w:r>
    </w:p>
    <w:p w14:paraId="3200F12F"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Kingdom of Saudi Arabia Wanted Militants </w:t>
      </w:r>
    </w:p>
    <w:p w14:paraId="693172F6"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Canada Public Safety and Emergency Preparedness Listed Entities </w:t>
      </w:r>
    </w:p>
    <w:p w14:paraId="29142DDF"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Australia Foreign Affairs Consolidated List </w:t>
      </w:r>
    </w:p>
    <w:p w14:paraId="06308A13"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HM Treasury Consolidated List [England] </w:t>
      </w:r>
    </w:p>
    <w:p w14:paraId="0F2DA803" w14:textId="77777777" w:rsidR="009E186A" w:rsidRPr="009E186A" w:rsidRDefault="009E186A" w:rsidP="0093656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Die Konsolidierte Liste des HM Treasury, plus Personen und Einrichtungen, die nach den Verordnungen des Rats der Europäischen Union restriktiven Maßnahmen unterliegen. </w:t>
      </w:r>
    </w:p>
    <w:p w14:paraId="65933BE7"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Canadian Border Services Agency Wanted List </w:t>
      </w:r>
    </w:p>
    <w:p w14:paraId="5C6DEB54" w14:textId="77777777" w:rsidR="009E186A" w:rsidRPr="009E186A" w:rsidRDefault="009E186A" w:rsidP="0093656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Verletzungen der Menschenrechte oder des Völkerrechts gemäß dem Gesetz über Verbrechen gegen die Menschlichkeit und Kriegsverbrechen bzw. nach dem Völkerrecht. </w:t>
      </w:r>
    </w:p>
    <w:p w14:paraId="7FE9CA42"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Canadian Economic Sanctions </w:t>
      </w:r>
    </w:p>
    <w:p w14:paraId="47013086" w14:textId="77777777" w:rsidR="009E186A" w:rsidRPr="009E186A" w:rsidRDefault="009E186A" w:rsidP="0093656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Die Sanktionen umfassen verschiedene Maßnahmen, einschließlich Beschränkungen offizieller und diplomatischer Kontakte oder Reisebeschränkungen, rechtliche Maßnahmen zur Beschränkung oder zum Verbot des Handels oder anderer wirtschaftlicher Tätigkeiten zwischen Kanada und dem Zielland oder das Beschlagnahmen bzw. Einfrieren von Vermögen in Kanada. </w:t>
      </w:r>
    </w:p>
    <w:p w14:paraId="13AF69C3"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RCMP Wanted Fugitives </w:t>
      </w:r>
    </w:p>
    <w:p w14:paraId="4B791297" w14:textId="77777777" w:rsidR="009E186A" w:rsidRPr="009E186A" w:rsidRDefault="009E186A" w:rsidP="0093656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Zur Durchsetzung von Gesetzen, die vom kanadischen Parlament bzw. mit dessen Zustimmung verabschiedet wurden. </w:t>
      </w:r>
    </w:p>
    <w:p w14:paraId="7ECAFFE5"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FinCEN (USA PATRIOT Act) Section 311 - Special Measures</w:t>
      </w:r>
      <w:r>
        <w:rPr>
          <w:rFonts w:ascii="Verdana" w:hAnsi="Verdana"/>
          <w:sz w:val="16"/>
          <w:szCs w:val="16"/>
        </w:rPr>
        <w:t xml:space="preserve"> </w:t>
      </w:r>
    </w:p>
    <w:p w14:paraId="4CC7FA9D"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World Bank Listing of Ineligible Firms </w:t>
      </w:r>
    </w:p>
    <w:p w14:paraId="2EE62DA1" w14:textId="77777777" w:rsidR="009E186A" w:rsidRPr="009E186A" w:rsidRDefault="009E186A" w:rsidP="0093656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Listen von Unternehmen und Einzelpersonen, die während des angegebenen Zeitraums keinen von der Weltbank finanzierten Vertrag erhalten dürfen, weil sie gegen die Bestimmungen zur Betrugs- und Korruptionsbekämpfung der Procurement Guidelines oder der Consultants Guidelines verstoßen haben. </w:t>
      </w:r>
    </w:p>
    <w:p w14:paraId="4F715619"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OSFI Consolidated List - Einrichtungen</w:t>
      </w:r>
      <w:r>
        <w:rPr>
          <w:rFonts w:ascii="Verdana" w:hAnsi="Verdana"/>
          <w:sz w:val="16"/>
          <w:szCs w:val="16"/>
        </w:rPr>
        <w:t xml:space="preserve"> </w:t>
      </w:r>
    </w:p>
    <w:p w14:paraId="4A00EA67"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OSFI Consolidated List - Einzelpersonen</w:t>
      </w:r>
      <w:r>
        <w:rPr>
          <w:rFonts w:ascii="Verdana" w:hAnsi="Verdana"/>
          <w:sz w:val="16"/>
          <w:szCs w:val="16"/>
        </w:rPr>
        <w:t xml:space="preserve"> </w:t>
      </w:r>
    </w:p>
    <w:p w14:paraId="202D4BC9" w14:textId="77777777" w:rsidR="009E186A" w:rsidRPr="009E186A" w:rsidRDefault="009E186A" w:rsidP="0093656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Das Office of the Superintendent of Financial Institutions (OSFI) veröffentlicht Namen und erstellt eine Liste von Einrichtungen nach dem Strafgesetzbuch von Kanada bzw. den UN-Bestimmungen zur Bekämpfung von Terrorismus. Das OSFI ist die alleinige Regulierungsbehörde für Banken und die Hauptregulierungsbehörde für Versicherungsunternehmen, Treuhandgesellschaften, Kreditunternehmen und Pensionskassen in Kanada. </w:t>
      </w:r>
    </w:p>
    <w:p w14:paraId="04C113BF" w14:textId="77777777" w:rsidR="009E186A" w:rsidRPr="009E186A" w:rsidRDefault="009E186A" w:rsidP="0093656C">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OSFI Warning List</w:t>
      </w:r>
      <w:r>
        <w:rPr>
          <w:rFonts w:ascii="Verdana" w:hAnsi="Verdana"/>
          <w:sz w:val="16"/>
          <w:szCs w:val="16"/>
        </w:rPr>
        <w:t xml:space="preserve"> </w:t>
      </w:r>
    </w:p>
    <w:p w14:paraId="7E1F42ED" w14:textId="77777777" w:rsidR="009E186A" w:rsidRPr="009E186A" w:rsidRDefault="009E186A" w:rsidP="0093656C">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Diese Liste enthält Namen von Einrichtungen, die für die Geschäftswelt und die Öffentlichkeit von Belang sein können. </w:t>
      </w:r>
    </w:p>
    <w:p w14:paraId="10577550" w14:textId="77777777" w:rsidR="009E186A" w:rsidRPr="009E186A" w:rsidRDefault="009E186A" w:rsidP="0093656C">
      <w:pPr>
        <w:spacing w:before="100" w:beforeAutospacing="1" w:after="100" w:afterAutospacing="1" w:line="276" w:lineRule="auto"/>
        <w:ind w:left="720"/>
        <w:rPr>
          <w:rFonts w:ascii="Verdana" w:hAnsi="Verdana"/>
          <w:sz w:val="16"/>
          <w:szCs w:val="16"/>
          <w:lang w:val="en-US"/>
        </w:rPr>
      </w:pPr>
    </w:p>
    <w:p w14:paraId="76C43801" w14:textId="7125E376" w:rsidR="00B44EB7" w:rsidRPr="00B44EB7" w:rsidRDefault="00B44EB7" w:rsidP="0093656C">
      <w:pPr>
        <w:spacing w:before="100" w:beforeAutospacing="1" w:after="100" w:afterAutospacing="1" w:line="276" w:lineRule="auto"/>
        <w:rPr>
          <w:b/>
          <w:u w:val="single"/>
        </w:rPr>
      </w:pPr>
    </w:p>
    <w:sectPr w:rsidR="00B44EB7" w:rsidRPr="00B44EB7" w:rsidSect="007E6BF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51" w:right="1009" w:bottom="1151" w:left="1009" w:header="720"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5741A" w14:textId="77777777" w:rsidR="009D4291" w:rsidRDefault="009D4291" w:rsidP="00FF0F75">
      <w:r>
        <w:separator/>
      </w:r>
    </w:p>
  </w:endnote>
  <w:endnote w:type="continuationSeparator" w:id="0">
    <w:p w14:paraId="36C9D095" w14:textId="77777777" w:rsidR="009D4291" w:rsidRPr="000B495E" w:rsidRDefault="009D4291" w:rsidP="000B495E">
      <w:r>
        <w:separator/>
      </w:r>
    </w:p>
  </w:endnote>
  <w:endnote w:type="continuationNotice" w:id="1">
    <w:p w14:paraId="642713B1" w14:textId="77777777" w:rsidR="009D4291" w:rsidRDefault="009D4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34CB" w14:textId="77777777" w:rsidR="003405D1" w:rsidRDefault="0034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7504" w14:textId="583B8070" w:rsidR="009845EB" w:rsidRPr="00A02A48" w:rsidRDefault="003405D1">
    <w:r>
      <w:rPr>
        <w:sz w:val="16"/>
      </w:rPr>
      <w:t>Version Mai 2018</w:t>
    </w:r>
    <w:r>
      <w:ptab w:relativeTo="margin" w:alignment="center" w:leader="none"/>
    </w:r>
    <w:r w:rsidR="002140A1" w:rsidRPr="00A02A48">
      <w:fldChar w:fldCharType="begin"/>
    </w:r>
    <w:r w:rsidR="002140A1" w:rsidRPr="00A02A48">
      <w:instrText xml:space="preserve"> PAGE   \* MERGEFORMAT </w:instrText>
    </w:r>
    <w:r w:rsidR="002140A1" w:rsidRPr="00A02A48">
      <w:fldChar w:fldCharType="separate"/>
    </w:r>
    <w:r w:rsidR="00263B98">
      <w:rPr>
        <w:noProof/>
      </w:rPr>
      <w:t>9</w:t>
    </w:r>
    <w:r w:rsidR="002140A1" w:rsidRPr="00A02A48">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647A" w14:textId="58161C6F" w:rsidR="009845EB" w:rsidRPr="007E6BF3" w:rsidRDefault="009E186A" w:rsidP="007E6BF3">
    <w:r>
      <w:rPr>
        <w:sz w:val="16"/>
      </w:rPr>
      <w:t>Version Mai 2018</w:t>
    </w:r>
    <w:r>
      <w:ptab w:relativeTo="margin" w:alignment="center" w:leader="none"/>
    </w:r>
    <w:r w:rsidR="007E6BF3" w:rsidRPr="00A02A48">
      <w:fldChar w:fldCharType="begin"/>
    </w:r>
    <w:r w:rsidR="007E6BF3" w:rsidRPr="00A02A48">
      <w:instrText xml:space="preserve"> PAGE   \* MERGEFORMAT </w:instrText>
    </w:r>
    <w:r w:rsidR="007E6BF3" w:rsidRPr="00A02A48">
      <w:fldChar w:fldCharType="separate"/>
    </w:r>
    <w:r w:rsidR="00263B98">
      <w:rPr>
        <w:noProof/>
      </w:rPr>
      <w:t>1</w:t>
    </w:r>
    <w:r w:rsidR="007E6BF3" w:rsidRPr="00A02A48">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BB2DF" w14:textId="77777777" w:rsidR="009D4291" w:rsidRDefault="009D4291" w:rsidP="00FF0F75">
      <w:r>
        <w:separator/>
      </w:r>
    </w:p>
  </w:footnote>
  <w:footnote w:type="continuationSeparator" w:id="0">
    <w:p w14:paraId="035BEDE3" w14:textId="77777777" w:rsidR="009D4291" w:rsidRPr="000B495E" w:rsidRDefault="009D4291" w:rsidP="000B495E">
      <w:r>
        <w:separator/>
      </w:r>
    </w:p>
  </w:footnote>
  <w:footnote w:type="continuationNotice" w:id="1">
    <w:p w14:paraId="3D5CEC07" w14:textId="77777777" w:rsidR="009D4291" w:rsidRDefault="009D4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C680" w14:textId="77777777" w:rsidR="003405D1" w:rsidRDefault="0034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AF82" w14:textId="77777777" w:rsidR="003405D1" w:rsidRDefault="00340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5254" w14:textId="77777777" w:rsidR="003405D1" w:rsidRDefault="00340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39C"/>
    <w:multiLevelType w:val="multilevel"/>
    <w:tmpl w:val="2BCC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5F5A"/>
    <w:multiLevelType w:val="multilevel"/>
    <w:tmpl w:val="854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3597C"/>
    <w:multiLevelType w:val="hybridMultilevel"/>
    <w:tmpl w:val="7A7C6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C274EA"/>
    <w:multiLevelType w:val="multilevel"/>
    <w:tmpl w:val="00F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15:restartNumberingAfterBreak="0">
    <w:nsid w:val="19E058EC"/>
    <w:multiLevelType w:val="multilevel"/>
    <w:tmpl w:val="402E7DA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91C4CE8"/>
    <w:multiLevelType w:val="multilevel"/>
    <w:tmpl w:val="D8EED33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6DF"/>
    <w:multiLevelType w:val="hybridMultilevel"/>
    <w:tmpl w:val="08EE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BC37BF"/>
    <w:multiLevelType w:val="multilevel"/>
    <w:tmpl w:val="D748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33F5B"/>
    <w:multiLevelType w:val="multilevel"/>
    <w:tmpl w:val="8D044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53331"/>
    <w:multiLevelType w:val="multilevel"/>
    <w:tmpl w:val="5BBE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24B76"/>
    <w:multiLevelType w:val="multilevel"/>
    <w:tmpl w:val="2C24D736"/>
    <w:lvl w:ilvl="0">
      <w:start w:val="1"/>
      <w:numFmt w:val="decimal"/>
      <w:pStyle w:val="Heading1"/>
      <w:lvlText w:val="%1."/>
      <w:lvlJc w:val="left"/>
      <w:pPr>
        <w:ind w:left="720" w:hanging="720"/>
      </w:pPr>
      <w:rPr>
        <w:rFonts w:ascii="Arial" w:hAnsi="Arial" w:hint="default"/>
        <w:b/>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66A8116B"/>
    <w:multiLevelType w:val="hybridMultilevel"/>
    <w:tmpl w:val="1B642372"/>
    <w:lvl w:ilvl="0" w:tplc="1809000B">
      <w:start w:val="1"/>
      <w:numFmt w:val="bullet"/>
      <w:lvlText w:val=""/>
      <w:lvlJc w:val="left"/>
      <w:pPr>
        <w:ind w:left="411"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5C38F1"/>
    <w:multiLevelType w:val="hybridMultilevel"/>
    <w:tmpl w:val="CEBE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62249B"/>
    <w:multiLevelType w:val="multilevel"/>
    <w:tmpl w:val="20F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2"/>
  </w:num>
  <w:num w:numId="4">
    <w:abstractNumId w:val="14"/>
  </w:num>
  <w:num w:numId="5">
    <w:abstractNumId w:val="7"/>
  </w:num>
  <w:num w:numId="6">
    <w:abstractNumId w:val="2"/>
  </w:num>
  <w:num w:numId="7">
    <w:abstractNumId w:val="8"/>
  </w:num>
  <w:num w:numId="8">
    <w:abstractNumId w:val="5"/>
  </w:num>
  <w:num w:numId="9">
    <w:abstractNumId w:val="3"/>
  </w:num>
  <w:num w:numId="10">
    <w:abstractNumId w:val="9"/>
  </w:num>
  <w:num w:numId="11">
    <w:abstractNumId w:val="16"/>
  </w:num>
  <w:num w:numId="12">
    <w:abstractNumId w:val="15"/>
  </w:num>
  <w:num w:numId="13">
    <w:abstractNumId w:val="0"/>
  </w:num>
  <w:num w:numId="14">
    <w:abstractNumId w:val="10"/>
  </w:num>
  <w:num w:numId="15">
    <w:abstractNumId w:val="17"/>
  </w:num>
  <w:num w:numId="16">
    <w:abstractNumId w:val="11"/>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F5"/>
    <w:rsid w:val="00002D0F"/>
    <w:rsid w:val="00011A53"/>
    <w:rsid w:val="000147D4"/>
    <w:rsid w:val="000200DD"/>
    <w:rsid w:val="00022DC9"/>
    <w:rsid w:val="00023F8A"/>
    <w:rsid w:val="00027756"/>
    <w:rsid w:val="000311E7"/>
    <w:rsid w:val="00031A67"/>
    <w:rsid w:val="00033582"/>
    <w:rsid w:val="0003385B"/>
    <w:rsid w:val="00034E0D"/>
    <w:rsid w:val="0003691D"/>
    <w:rsid w:val="00051B20"/>
    <w:rsid w:val="00052244"/>
    <w:rsid w:val="00054C24"/>
    <w:rsid w:val="00064B4A"/>
    <w:rsid w:val="00066398"/>
    <w:rsid w:val="000664BA"/>
    <w:rsid w:val="00067386"/>
    <w:rsid w:val="000717E2"/>
    <w:rsid w:val="0007186C"/>
    <w:rsid w:val="00074121"/>
    <w:rsid w:val="00074482"/>
    <w:rsid w:val="00074971"/>
    <w:rsid w:val="00077BF4"/>
    <w:rsid w:val="00077C1A"/>
    <w:rsid w:val="00081851"/>
    <w:rsid w:val="0008329A"/>
    <w:rsid w:val="00091645"/>
    <w:rsid w:val="00095B10"/>
    <w:rsid w:val="000A1B51"/>
    <w:rsid w:val="000A392A"/>
    <w:rsid w:val="000B495E"/>
    <w:rsid w:val="000D216B"/>
    <w:rsid w:val="000D343C"/>
    <w:rsid w:val="000E0535"/>
    <w:rsid w:val="000E1B49"/>
    <w:rsid w:val="000E2610"/>
    <w:rsid w:val="000E439D"/>
    <w:rsid w:val="000F1C6D"/>
    <w:rsid w:val="00101443"/>
    <w:rsid w:val="00103062"/>
    <w:rsid w:val="001205E0"/>
    <w:rsid w:val="001220A4"/>
    <w:rsid w:val="00122F82"/>
    <w:rsid w:val="00125B59"/>
    <w:rsid w:val="001359AE"/>
    <w:rsid w:val="00137A19"/>
    <w:rsid w:val="00152A7E"/>
    <w:rsid w:val="00156693"/>
    <w:rsid w:val="00161BCD"/>
    <w:rsid w:val="001640F8"/>
    <w:rsid w:val="00164FC7"/>
    <w:rsid w:val="00175BAC"/>
    <w:rsid w:val="00181534"/>
    <w:rsid w:val="001854AF"/>
    <w:rsid w:val="00187897"/>
    <w:rsid w:val="001903F5"/>
    <w:rsid w:val="00190E21"/>
    <w:rsid w:val="0019126B"/>
    <w:rsid w:val="00194219"/>
    <w:rsid w:val="00195150"/>
    <w:rsid w:val="001965D4"/>
    <w:rsid w:val="001A0700"/>
    <w:rsid w:val="001A0F8B"/>
    <w:rsid w:val="001A6681"/>
    <w:rsid w:val="001B0C67"/>
    <w:rsid w:val="001B2053"/>
    <w:rsid w:val="001C1C58"/>
    <w:rsid w:val="001C4684"/>
    <w:rsid w:val="001D400A"/>
    <w:rsid w:val="001D4635"/>
    <w:rsid w:val="001E07E8"/>
    <w:rsid w:val="001E6807"/>
    <w:rsid w:val="001E7105"/>
    <w:rsid w:val="001F796A"/>
    <w:rsid w:val="00201815"/>
    <w:rsid w:val="00205A01"/>
    <w:rsid w:val="0021163B"/>
    <w:rsid w:val="00211C9B"/>
    <w:rsid w:val="00212920"/>
    <w:rsid w:val="002140A1"/>
    <w:rsid w:val="0022108C"/>
    <w:rsid w:val="0022119B"/>
    <w:rsid w:val="00227BFB"/>
    <w:rsid w:val="002405CC"/>
    <w:rsid w:val="00244A4B"/>
    <w:rsid w:val="00246884"/>
    <w:rsid w:val="00253098"/>
    <w:rsid w:val="002540D4"/>
    <w:rsid w:val="00254D03"/>
    <w:rsid w:val="002576E9"/>
    <w:rsid w:val="00257EE5"/>
    <w:rsid w:val="00263B98"/>
    <w:rsid w:val="002641D2"/>
    <w:rsid w:val="00266A37"/>
    <w:rsid w:val="002738CE"/>
    <w:rsid w:val="00283544"/>
    <w:rsid w:val="0029454D"/>
    <w:rsid w:val="002A0527"/>
    <w:rsid w:val="002A2AF5"/>
    <w:rsid w:val="002A4075"/>
    <w:rsid w:val="002B6FDB"/>
    <w:rsid w:val="002C19A4"/>
    <w:rsid w:val="002C4EE6"/>
    <w:rsid w:val="002D1C47"/>
    <w:rsid w:val="002D3270"/>
    <w:rsid w:val="002E08D7"/>
    <w:rsid w:val="002E098C"/>
    <w:rsid w:val="002E4649"/>
    <w:rsid w:val="002E7504"/>
    <w:rsid w:val="002F0DEA"/>
    <w:rsid w:val="00304968"/>
    <w:rsid w:val="0032729A"/>
    <w:rsid w:val="003278E7"/>
    <w:rsid w:val="003346C6"/>
    <w:rsid w:val="00336125"/>
    <w:rsid w:val="00336435"/>
    <w:rsid w:val="003405D1"/>
    <w:rsid w:val="00341173"/>
    <w:rsid w:val="003440E7"/>
    <w:rsid w:val="0034660A"/>
    <w:rsid w:val="003522DB"/>
    <w:rsid w:val="00355666"/>
    <w:rsid w:val="00356082"/>
    <w:rsid w:val="00356D32"/>
    <w:rsid w:val="003577FA"/>
    <w:rsid w:val="003629D1"/>
    <w:rsid w:val="00364451"/>
    <w:rsid w:val="003654AC"/>
    <w:rsid w:val="0036761B"/>
    <w:rsid w:val="00367975"/>
    <w:rsid w:val="003703DF"/>
    <w:rsid w:val="00370661"/>
    <w:rsid w:val="0037397D"/>
    <w:rsid w:val="003778D0"/>
    <w:rsid w:val="00382E63"/>
    <w:rsid w:val="0039288D"/>
    <w:rsid w:val="00394A6B"/>
    <w:rsid w:val="00396B22"/>
    <w:rsid w:val="003A03FB"/>
    <w:rsid w:val="003A04F0"/>
    <w:rsid w:val="003A5ABC"/>
    <w:rsid w:val="003B1B20"/>
    <w:rsid w:val="003B1C6A"/>
    <w:rsid w:val="003B30EC"/>
    <w:rsid w:val="003B3EF7"/>
    <w:rsid w:val="003B47BA"/>
    <w:rsid w:val="003B6309"/>
    <w:rsid w:val="003B68F2"/>
    <w:rsid w:val="003C047C"/>
    <w:rsid w:val="003C2562"/>
    <w:rsid w:val="003C3896"/>
    <w:rsid w:val="003C4384"/>
    <w:rsid w:val="003D117F"/>
    <w:rsid w:val="003D1D38"/>
    <w:rsid w:val="003D36D6"/>
    <w:rsid w:val="003E02FC"/>
    <w:rsid w:val="003E1199"/>
    <w:rsid w:val="003E2A3D"/>
    <w:rsid w:val="003E43BC"/>
    <w:rsid w:val="003E7142"/>
    <w:rsid w:val="003F0D61"/>
    <w:rsid w:val="003F1B66"/>
    <w:rsid w:val="003F6CC8"/>
    <w:rsid w:val="003F770B"/>
    <w:rsid w:val="00401689"/>
    <w:rsid w:val="0040176E"/>
    <w:rsid w:val="004043B0"/>
    <w:rsid w:val="004066FD"/>
    <w:rsid w:val="00411FEA"/>
    <w:rsid w:val="004278A9"/>
    <w:rsid w:val="004302C9"/>
    <w:rsid w:val="00430A73"/>
    <w:rsid w:val="00434CF7"/>
    <w:rsid w:val="00435216"/>
    <w:rsid w:val="00436CED"/>
    <w:rsid w:val="004416A6"/>
    <w:rsid w:val="004447BB"/>
    <w:rsid w:val="00456763"/>
    <w:rsid w:val="00463447"/>
    <w:rsid w:val="00463512"/>
    <w:rsid w:val="00464217"/>
    <w:rsid w:val="004726C2"/>
    <w:rsid w:val="00480F9E"/>
    <w:rsid w:val="004822F7"/>
    <w:rsid w:val="00491122"/>
    <w:rsid w:val="004935D8"/>
    <w:rsid w:val="004963CE"/>
    <w:rsid w:val="004A210F"/>
    <w:rsid w:val="004A24E1"/>
    <w:rsid w:val="004A4055"/>
    <w:rsid w:val="004A6F7B"/>
    <w:rsid w:val="004A76C6"/>
    <w:rsid w:val="004B0846"/>
    <w:rsid w:val="004B098E"/>
    <w:rsid w:val="004B5ACA"/>
    <w:rsid w:val="004B752B"/>
    <w:rsid w:val="004C5BE1"/>
    <w:rsid w:val="004C6E63"/>
    <w:rsid w:val="004D465A"/>
    <w:rsid w:val="004D497C"/>
    <w:rsid w:val="004D4F02"/>
    <w:rsid w:val="004D5A5C"/>
    <w:rsid w:val="004E38C2"/>
    <w:rsid w:val="004E4393"/>
    <w:rsid w:val="004E62DF"/>
    <w:rsid w:val="004F3D16"/>
    <w:rsid w:val="004F443F"/>
    <w:rsid w:val="00510942"/>
    <w:rsid w:val="0051472E"/>
    <w:rsid w:val="005233AB"/>
    <w:rsid w:val="00527488"/>
    <w:rsid w:val="005301C1"/>
    <w:rsid w:val="00543EA1"/>
    <w:rsid w:val="00545785"/>
    <w:rsid w:val="00550486"/>
    <w:rsid w:val="0055378B"/>
    <w:rsid w:val="0057149B"/>
    <w:rsid w:val="00571E17"/>
    <w:rsid w:val="00573947"/>
    <w:rsid w:val="005878FA"/>
    <w:rsid w:val="00591D44"/>
    <w:rsid w:val="0059229E"/>
    <w:rsid w:val="00592FDE"/>
    <w:rsid w:val="00597FAB"/>
    <w:rsid w:val="005A08A2"/>
    <w:rsid w:val="005A5804"/>
    <w:rsid w:val="005B1D2A"/>
    <w:rsid w:val="005B2DDF"/>
    <w:rsid w:val="005B438D"/>
    <w:rsid w:val="005B5DD1"/>
    <w:rsid w:val="005C103A"/>
    <w:rsid w:val="005C19B3"/>
    <w:rsid w:val="005C4A30"/>
    <w:rsid w:val="005D07BB"/>
    <w:rsid w:val="005D69A8"/>
    <w:rsid w:val="005E1796"/>
    <w:rsid w:val="005E4350"/>
    <w:rsid w:val="005E573B"/>
    <w:rsid w:val="005E5F0C"/>
    <w:rsid w:val="005E77E8"/>
    <w:rsid w:val="005F152B"/>
    <w:rsid w:val="005F36C5"/>
    <w:rsid w:val="006009B9"/>
    <w:rsid w:val="00603BF9"/>
    <w:rsid w:val="00605993"/>
    <w:rsid w:val="00611FA2"/>
    <w:rsid w:val="0061487F"/>
    <w:rsid w:val="006155C0"/>
    <w:rsid w:val="0061618A"/>
    <w:rsid w:val="006233D9"/>
    <w:rsid w:val="0062438A"/>
    <w:rsid w:val="00627FCC"/>
    <w:rsid w:val="006330F4"/>
    <w:rsid w:val="00636314"/>
    <w:rsid w:val="00637AE6"/>
    <w:rsid w:val="006410DC"/>
    <w:rsid w:val="00645F12"/>
    <w:rsid w:val="00645F5A"/>
    <w:rsid w:val="0065531A"/>
    <w:rsid w:val="00655FC5"/>
    <w:rsid w:val="0066011E"/>
    <w:rsid w:val="0066023D"/>
    <w:rsid w:val="00660BE7"/>
    <w:rsid w:val="0066658A"/>
    <w:rsid w:val="006723C4"/>
    <w:rsid w:val="00674209"/>
    <w:rsid w:val="0069154B"/>
    <w:rsid w:val="0069611F"/>
    <w:rsid w:val="00696DD7"/>
    <w:rsid w:val="0069748E"/>
    <w:rsid w:val="006A231B"/>
    <w:rsid w:val="006A3C32"/>
    <w:rsid w:val="006B1C08"/>
    <w:rsid w:val="006B4E94"/>
    <w:rsid w:val="006C4157"/>
    <w:rsid w:val="006C6D42"/>
    <w:rsid w:val="006D15A9"/>
    <w:rsid w:val="006D545D"/>
    <w:rsid w:val="006D63AB"/>
    <w:rsid w:val="006E08C7"/>
    <w:rsid w:val="006E2124"/>
    <w:rsid w:val="006E760D"/>
    <w:rsid w:val="006F139C"/>
    <w:rsid w:val="006F33A5"/>
    <w:rsid w:val="006F3556"/>
    <w:rsid w:val="006F405B"/>
    <w:rsid w:val="006F6458"/>
    <w:rsid w:val="00710AD9"/>
    <w:rsid w:val="00711E34"/>
    <w:rsid w:val="007143FE"/>
    <w:rsid w:val="00714C91"/>
    <w:rsid w:val="007239BE"/>
    <w:rsid w:val="00724B1C"/>
    <w:rsid w:val="007458AB"/>
    <w:rsid w:val="0076700A"/>
    <w:rsid w:val="00771EEF"/>
    <w:rsid w:val="00772AF7"/>
    <w:rsid w:val="0077389F"/>
    <w:rsid w:val="00775604"/>
    <w:rsid w:val="00776E41"/>
    <w:rsid w:val="00776E9E"/>
    <w:rsid w:val="00782280"/>
    <w:rsid w:val="00784ECC"/>
    <w:rsid w:val="00794D56"/>
    <w:rsid w:val="007951AE"/>
    <w:rsid w:val="00795409"/>
    <w:rsid w:val="007A45F2"/>
    <w:rsid w:val="007A78DB"/>
    <w:rsid w:val="007B1068"/>
    <w:rsid w:val="007B1C75"/>
    <w:rsid w:val="007B39A8"/>
    <w:rsid w:val="007B3CCF"/>
    <w:rsid w:val="007B4A5B"/>
    <w:rsid w:val="007C0F10"/>
    <w:rsid w:val="007C24FD"/>
    <w:rsid w:val="007C62E3"/>
    <w:rsid w:val="007D51EF"/>
    <w:rsid w:val="007E039F"/>
    <w:rsid w:val="007E11DD"/>
    <w:rsid w:val="007E1FB2"/>
    <w:rsid w:val="007E40A9"/>
    <w:rsid w:val="007E4C52"/>
    <w:rsid w:val="007E6BF3"/>
    <w:rsid w:val="007F0FA2"/>
    <w:rsid w:val="007F27C9"/>
    <w:rsid w:val="007F74BA"/>
    <w:rsid w:val="007F7AD5"/>
    <w:rsid w:val="00806C19"/>
    <w:rsid w:val="00810AD4"/>
    <w:rsid w:val="00814637"/>
    <w:rsid w:val="00827475"/>
    <w:rsid w:val="008310CD"/>
    <w:rsid w:val="00831C87"/>
    <w:rsid w:val="00850E44"/>
    <w:rsid w:val="00857625"/>
    <w:rsid w:val="00860EE1"/>
    <w:rsid w:val="008611F4"/>
    <w:rsid w:val="008663DE"/>
    <w:rsid w:val="00866BBC"/>
    <w:rsid w:val="00870A30"/>
    <w:rsid w:val="008720B3"/>
    <w:rsid w:val="008756C2"/>
    <w:rsid w:val="008819D5"/>
    <w:rsid w:val="00882614"/>
    <w:rsid w:val="00883B2B"/>
    <w:rsid w:val="00885843"/>
    <w:rsid w:val="00891FFD"/>
    <w:rsid w:val="0089788D"/>
    <w:rsid w:val="008A2C34"/>
    <w:rsid w:val="008A3DA3"/>
    <w:rsid w:val="008B135E"/>
    <w:rsid w:val="008B78CD"/>
    <w:rsid w:val="008C1993"/>
    <w:rsid w:val="008C41F1"/>
    <w:rsid w:val="008D5194"/>
    <w:rsid w:val="008D58ED"/>
    <w:rsid w:val="008E31DE"/>
    <w:rsid w:val="008E3671"/>
    <w:rsid w:val="008E3883"/>
    <w:rsid w:val="008E6F70"/>
    <w:rsid w:val="008E7330"/>
    <w:rsid w:val="008E73A8"/>
    <w:rsid w:val="008F5F92"/>
    <w:rsid w:val="0090400D"/>
    <w:rsid w:val="00912D39"/>
    <w:rsid w:val="00920C4C"/>
    <w:rsid w:val="00926BE6"/>
    <w:rsid w:val="009304CE"/>
    <w:rsid w:val="00932224"/>
    <w:rsid w:val="0093656C"/>
    <w:rsid w:val="00941748"/>
    <w:rsid w:val="00943CFA"/>
    <w:rsid w:val="009461B3"/>
    <w:rsid w:val="00955282"/>
    <w:rsid w:val="009556AB"/>
    <w:rsid w:val="00960DA8"/>
    <w:rsid w:val="0097748E"/>
    <w:rsid w:val="00980B6F"/>
    <w:rsid w:val="00981BD2"/>
    <w:rsid w:val="009845EB"/>
    <w:rsid w:val="00985DB0"/>
    <w:rsid w:val="00985E73"/>
    <w:rsid w:val="00990C6B"/>
    <w:rsid w:val="0099227D"/>
    <w:rsid w:val="009A2257"/>
    <w:rsid w:val="009A2DFF"/>
    <w:rsid w:val="009A3D2D"/>
    <w:rsid w:val="009B3532"/>
    <w:rsid w:val="009B3B32"/>
    <w:rsid w:val="009B61E3"/>
    <w:rsid w:val="009C0C64"/>
    <w:rsid w:val="009C404B"/>
    <w:rsid w:val="009C4B69"/>
    <w:rsid w:val="009C4C93"/>
    <w:rsid w:val="009C4D55"/>
    <w:rsid w:val="009C4F55"/>
    <w:rsid w:val="009D4291"/>
    <w:rsid w:val="009E186A"/>
    <w:rsid w:val="009E6FA7"/>
    <w:rsid w:val="009E76AC"/>
    <w:rsid w:val="009F1B83"/>
    <w:rsid w:val="00A00B15"/>
    <w:rsid w:val="00A02A48"/>
    <w:rsid w:val="00A03D9D"/>
    <w:rsid w:val="00A04157"/>
    <w:rsid w:val="00A17658"/>
    <w:rsid w:val="00A22861"/>
    <w:rsid w:val="00A27DF0"/>
    <w:rsid w:val="00A32D37"/>
    <w:rsid w:val="00A358C5"/>
    <w:rsid w:val="00A42A92"/>
    <w:rsid w:val="00A43478"/>
    <w:rsid w:val="00A500A7"/>
    <w:rsid w:val="00A50C06"/>
    <w:rsid w:val="00A53307"/>
    <w:rsid w:val="00A54457"/>
    <w:rsid w:val="00A63ABD"/>
    <w:rsid w:val="00A66C85"/>
    <w:rsid w:val="00A703A4"/>
    <w:rsid w:val="00A71957"/>
    <w:rsid w:val="00A7235D"/>
    <w:rsid w:val="00A737E1"/>
    <w:rsid w:val="00A75A13"/>
    <w:rsid w:val="00A8067C"/>
    <w:rsid w:val="00A811E4"/>
    <w:rsid w:val="00A84E35"/>
    <w:rsid w:val="00A9115C"/>
    <w:rsid w:val="00A91E5F"/>
    <w:rsid w:val="00A93AF9"/>
    <w:rsid w:val="00A945BC"/>
    <w:rsid w:val="00A963CE"/>
    <w:rsid w:val="00A9643C"/>
    <w:rsid w:val="00A96C11"/>
    <w:rsid w:val="00AB4539"/>
    <w:rsid w:val="00AC3A4E"/>
    <w:rsid w:val="00AC6EF8"/>
    <w:rsid w:val="00AD17B2"/>
    <w:rsid w:val="00AF01D8"/>
    <w:rsid w:val="00AF406B"/>
    <w:rsid w:val="00B05BE3"/>
    <w:rsid w:val="00B11020"/>
    <w:rsid w:val="00B12261"/>
    <w:rsid w:val="00B132BC"/>
    <w:rsid w:val="00B17647"/>
    <w:rsid w:val="00B216FD"/>
    <w:rsid w:val="00B27131"/>
    <w:rsid w:val="00B35D91"/>
    <w:rsid w:val="00B43706"/>
    <w:rsid w:val="00B43734"/>
    <w:rsid w:val="00B43D44"/>
    <w:rsid w:val="00B43EAA"/>
    <w:rsid w:val="00B44373"/>
    <w:rsid w:val="00B44EB7"/>
    <w:rsid w:val="00B51016"/>
    <w:rsid w:val="00B51AAF"/>
    <w:rsid w:val="00B52E5A"/>
    <w:rsid w:val="00B56489"/>
    <w:rsid w:val="00B573FE"/>
    <w:rsid w:val="00B61ADC"/>
    <w:rsid w:val="00B61AE5"/>
    <w:rsid w:val="00B753C5"/>
    <w:rsid w:val="00B760E1"/>
    <w:rsid w:val="00B77447"/>
    <w:rsid w:val="00B805E5"/>
    <w:rsid w:val="00B85C77"/>
    <w:rsid w:val="00B876A5"/>
    <w:rsid w:val="00B95131"/>
    <w:rsid w:val="00B95616"/>
    <w:rsid w:val="00B95E97"/>
    <w:rsid w:val="00BA0264"/>
    <w:rsid w:val="00BA2888"/>
    <w:rsid w:val="00BA451E"/>
    <w:rsid w:val="00BA6932"/>
    <w:rsid w:val="00BB573B"/>
    <w:rsid w:val="00BC1494"/>
    <w:rsid w:val="00BC2992"/>
    <w:rsid w:val="00BC3A08"/>
    <w:rsid w:val="00BD6799"/>
    <w:rsid w:val="00BE1154"/>
    <w:rsid w:val="00BE1B19"/>
    <w:rsid w:val="00BE1BF8"/>
    <w:rsid w:val="00BE1FEB"/>
    <w:rsid w:val="00BF02D2"/>
    <w:rsid w:val="00BF6E86"/>
    <w:rsid w:val="00C05E83"/>
    <w:rsid w:val="00C11161"/>
    <w:rsid w:val="00C17AC5"/>
    <w:rsid w:val="00C20F07"/>
    <w:rsid w:val="00C2279C"/>
    <w:rsid w:val="00C2375F"/>
    <w:rsid w:val="00C259C3"/>
    <w:rsid w:val="00C25F09"/>
    <w:rsid w:val="00C2711B"/>
    <w:rsid w:val="00C31029"/>
    <w:rsid w:val="00C32A4D"/>
    <w:rsid w:val="00C32D74"/>
    <w:rsid w:val="00C33940"/>
    <w:rsid w:val="00C36490"/>
    <w:rsid w:val="00C41CEA"/>
    <w:rsid w:val="00C43E91"/>
    <w:rsid w:val="00C50C39"/>
    <w:rsid w:val="00C56764"/>
    <w:rsid w:val="00C605F5"/>
    <w:rsid w:val="00C6231F"/>
    <w:rsid w:val="00C67942"/>
    <w:rsid w:val="00C7087E"/>
    <w:rsid w:val="00C74560"/>
    <w:rsid w:val="00C75802"/>
    <w:rsid w:val="00C764A6"/>
    <w:rsid w:val="00C82960"/>
    <w:rsid w:val="00C87F85"/>
    <w:rsid w:val="00C9139A"/>
    <w:rsid w:val="00C93254"/>
    <w:rsid w:val="00C94F1C"/>
    <w:rsid w:val="00C96FD7"/>
    <w:rsid w:val="00CA0995"/>
    <w:rsid w:val="00CA2CE7"/>
    <w:rsid w:val="00CA4D3C"/>
    <w:rsid w:val="00CA6442"/>
    <w:rsid w:val="00CB2ABA"/>
    <w:rsid w:val="00CB38EF"/>
    <w:rsid w:val="00CC7D80"/>
    <w:rsid w:val="00CD26B3"/>
    <w:rsid w:val="00CD498E"/>
    <w:rsid w:val="00CE1200"/>
    <w:rsid w:val="00CE4119"/>
    <w:rsid w:val="00CF134A"/>
    <w:rsid w:val="00CF3546"/>
    <w:rsid w:val="00CF4428"/>
    <w:rsid w:val="00CF5AFB"/>
    <w:rsid w:val="00CF6B27"/>
    <w:rsid w:val="00CF6BF2"/>
    <w:rsid w:val="00D00224"/>
    <w:rsid w:val="00D02CBE"/>
    <w:rsid w:val="00D0335E"/>
    <w:rsid w:val="00D03FEC"/>
    <w:rsid w:val="00D0490F"/>
    <w:rsid w:val="00D04A07"/>
    <w:rsid w:val="00D051F0"/>
    <w:rsid w:val="00D27747"/>
    <w:rsid w:val="00D327F3"/>
    <w:rsid w:val="00D350C5"/>
    <w:rsid w:val="00D3782E"/>
    <w:rsid w:val="00D45092"/>
    <w:rsid w:val="00D46E21"/>
    <w:rsid w:val="00D5777B"/>
    <w:rsid w:val="00D615B3"/>
    <w:rsid w:val="00D64B55"/>
    <w:rsid w:val="00D71024"/>
    <w:rsid w:val="00D71E76"/>
    <w:rsid w:val="00D83B6F"/>
    <w:rsid w:val="00D85096"/>
    <w:rsid w:val="00D9283D"/>
    <w:rsid w:val="00D92EFE"/>
    <w:rsid w:val="00D94F81"/>
    <w:rsid w:val="00DA03E9"/>
    <w:rsid w:val="00DA1460"/>
    <w:rsid w:val="00DA3E4D"/>
    <w:rsid w:val="00DA3EF6"/>
    <w:rsid w:val="00DA7477"/>
    <w:rsid w:val="00DB74E7"/>
    <w:rsid w:val="00DB794E"/>
    <w:rsid w:val="00DC376C"/>
    <w:rsid w:val="00DC3905"/>
    <w:rsid w:val="00DC4F2D"/>
    <w:rsid w:val="00DC6277"/>
    <w:rsid w:val="00DC69DF"/>
    <w:rsid w:val="00DC7C10"/>
    <w:rsid w:val="00DD0F28"/>
    <w:rsid w:val="00DD1A53"/>
    <w:rsid w:val="00DD26AC"/>
    <w:rsid w:val="00DE1CA8"/>
    <w:rsid w:val="00DE48B4"/>
    <w:rsid w:val="00DF1B8A"/>
    <w:rsid w:val="00DF5AD9"/>
    <w:rsid w:val="00E06FA6"/>
    <w:rsid w:val="00E07CA4"/>
    <w:rsid w:val="00E10979"/>
    <w:rsid w:val="00E20FD3"/>
    <w:rsid w:val="00E2163E"/>
    <w:rsid w:val="00E22A91"/>
    <w:rsid w:val="00E244C9"/>
    <w:rsid w:val="00E26542"/>
    <w:rsid w:val="00E26C7B"/>
    <w:rsid w:val="00E300D8"/>
    <w:rsid w:val="00E321EE"/>
    <w:rsid w:val="00E354AF"/>
    <w:rsid w:val="00E41AC4"/>
    <w:rsid w:val="00E443FD"/>
    <w:rsid w:val="00E45A70"/>
    <w:rsid w:val="00E566E9"/>
    <w:rsid w:val="00E61E17"/>
    <w:rsid w:val="00E73D9F"/>
    <w:rsid w:val="00E74191"/>
    <w:rsid w:val="00E74B44"/>
    <w:rsid w:val="00E75E7A"/>
    <w:rsid w:val="00E814CD"/>
    <w:rsid w:val="00E849F6"/>
    <w:rsid w:val="00E9610A"/>
    <w:rsid w:val="00E97074"/>
    <w:rsid w:val="00EA2F84"/>
    <w:rsid w:val="00EA6436"/>
    <w:rsid w:val="00EB3C33"/>
    <w:rsid w:val="00EB617C"/>
    <w:rsid w:val="00EC1E95"/>
    <w:rsid w:val="00EC5051"/>
    <w:rsid w:val="00ED617F"/>
    <w:rsid w:val="00EE22D4"/>
    <w:rsid w:val="00EE2FF9"/>
    <w:rsid w:val="00EE31D9"/>
    <w:rsid w:val="00EF13F3"/>
    <w:rsid w:val="00EF386F"/>
    <w:rsid w:val="00EF79AA"/>
    <w:rsid w:val="00F00B9E"/>
    <w:rsid w:val="00F03AFA"/>
    <w:rsid w:val="00F054AA"/>
    <w:rsid w:val="00F126A2"/>
    <w:rsid w:val="00F12786"/>
    <w:rsid w:val="00F21051"/>
    <w:rsid w:val="00F22D7E"/>
    <w:rsid w:val="00F27C83"/>
    <w:rsid w:val="00F3007B"/>
    <w:rsid w:val="00F336B0"/>
    <w:rsid w:val="00F44C99"/>
    <w:rsid w:val="00F477AC"/>
    <w:rsid w:val="00F50EBE"/>
    <w:rsid w:val="00F52970"/>
    <w:rsid w:val="00F5606B"/>
    <w:rsid w:val="00F62D4D"/>
    <w:rsid w:val="00F6383C"/>
    <w:rsid w:val="00F64DE8"/>
    <w:rsid w:val="00F666F8"/>
    <w:rsid w:val="00F72348"/>
    <w:rsid w:val="00F73E0E"/>
    <w:rsid w:val="00F86C8E"/>
    <w:rsid w:val="00F92C5A"/>
    <w:rsid w:val="00F953B5"/>
    <w:rsid w:val="00F96EA1"/>
    <w:rsid w:val="00FA4ADC"/>
    <w:rsid w:val="00FB6688"/>
    <w:rsid w:val="00FB77B7"/>
    <w:rsid w:val="00FC1B0F"/>
    <w:rsid w:val="00FC5439"/>
    <w:rsid w:val="00FD37C9"/>
    <w:rsid w:val="00FD4373"/>
    <w:rsid w:val="00FD5CAE"/>
    <w:rsid w:val="00FE0172"/>
    <w:rsid w:val="00FE0C04"/>
    <w:rsid w:val="00FE7788"/>
    <w:rsid w:val="00FF0F75"/>
    <w:rsid w:val="00FF645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D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pPr>
        <w:spacing w:before="240" w:line="264"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BF2"/>
    <w:rPr>
      <w:rFonts w:eastAsia="Times New Roman" w:cs="Times New Roman"/>
    </w:rPr>
  </w:style>
  <w:style w:type="paragraph" w:styleId="Heading1">
    <w:name w:val="heading 1"/>
    <w:next w:val="L1Para"/>
    <w:link w:val="Heading1Char"/>
    <w:uiPriority w:val="1"/>
    <w:qFormat/>
    <w:rsid w:val="00F27C83"/>
    <w:pPr>
      <w:numPr>
        <w:numId w:val="4"/>
      </w:numPr>
      <w:outlineLvl w:val="0"/>
    </w:pPr>
    <w:rPr>
      <w:rFonts w:eastAsiaTheme="majorEastAsia" w:cstheme="majorBidi"/>
      <w:bCs/>
      <w:szCs w:val="28"/>
    </w:rPr>
  </w:style>
  <w:style w:type="paragraph" w:styleId="Heading2">
    <w:name w:val="heading 2"/>
    <w:next w:val="L2Para"/>
    <w:link w:val="Heading2Char"/>
    <w:uiPriority w:val="1"/>
    <w:qFormat/>
    <w:rsid w:val="00F27C83"/>
    <w:pPr>
      <w:numPr>
        <w:ilvl w:val="1"/>
        <w:numId w:val="4"/>
      </w:numPr>
      <w:outlineLvl w:val="1"/>
    </w:pPr>
    <w:rPr>
      <w:rFonts w:eastAsiaTheme="majorEastAsia" w:cstheme="majorBidi"/>
      <w:bCs/>
      <w:szCs w:val="26"/>
    </w:rPr>
  </w:style>
  <w:style w:type="paragraph" w:styleId="Heading3">
    <w:name w:val="heading 3"/>
    <w:next w:val="L3Para"/>
    <w:link w:val="Heading3Char"/>
    <w:uiPriority w:val="1"/>
    <w:qFormat/>
    <w:rsid w:val="00F27C83"/>
    <w:pPr>
      <w:numPr>
        <w:ilvl w:val="2"/>
        <w:numId w:val="4"/>
      </w:numPr>
      <w:outlineLvl w:val="2"/>
    </w:pPr>
    <w:rPr>
      <w:rFonts w:eastAsiaTheme="majorEastAsia" w:cstheme="majorBidi"/>
      <w:bCs/>
    </w:rPr>
  </w:style>
  <w:style w:type="paragraph" w:styleId="Heading4">
    <w:name w:val="heading 4"/>
    <w:next w:val="L4Para"/>
    <w:link w:val="Heading4Char"/>
    <w:uiPriority w:val="1"/>
    <w:qFormat/>
    <w:rsid w:val="009B61E3"/>
    <w:pPr>
      <w:numPr>
        <w:ilvl w:val="3"/>
        <w:numId w:val="4"/>
      </w:numPr>
      <w:spacing w:before="200"/>
      <w:outlineLvl w:val="3"/>
    </w:pPr>
    <w:rPr>
      <w:rFonts w:eastAsiaTheme="majorEastAsia" w:cstheme="majorBidi"/>
      <w:bCs/>
      <w:iCs/>
    </w:rPr>
  </w:style>
  <w:style w:type="paragraph" w:styleId="Heading5">
    <w:name w:val="heading 5"/>
    <w:next w:val="L5Para"/>
    <w:link w:val="Heading5Char"/>
    <w:uiPriority w:val="1"/>
    <w:qFormat/>
    <w:rsid w:val="00F27C83"/>
    <w:pPr>
      <w:numPr>
        <w:ilvl w:val="4"/>
        <w:numId w:val="4"/>
      </w:numPr>
      <w:outlineLvl w:val="4"/>
    </w:pPr>
    <w:rPr>
      <w:rFonts w:eastAsiaTheme="majorEastAsia" w:cstheme="majorBidi"/>
    </w:rPr>
  </w:style>
  <w:style w:type="paragraph" w:styleId="Heading6">
    <w:name w:val="heading 6"/>
    <w:basedOn w:val="Normal"/>
    <w:next w:val="Normal"/>
    <w:link w:val="Heading6Char"/>
    <w:uiPriority w:val="10"/>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F27C83"/>
    <w:pPr>
      <w:ind w:left="720"/>
    </w:pPr>
  </w:style>
  <w:style w:type="paragraph" w:customStyle="1" w:styleId="L2Para">
    <w:name w:val="L2Para"/>
    <w:next w:val="Normal"/>
    <w:uiPriority w:val="2"/>
    <w:qFormat/>
    <w:rsid w:val="00F27C83"/>
    <w:pPr>
      <w:ind w:left="720"/>
    </w:pPr>
  </w:style>
  <w:style w:type="paragraph" w:customStyle="1" w:styleId="L3Para">
    <w:name w:val="L3Para"/>
    <w:next w:val="Normal"/>
    <w:uiPriority w:val="2"/>
    <w:qFormat/>
    <w:rsid w:val="00F27C83"/>
    <w:pPr>
      <w:ind w:left="1644"/>
    </w:pPr>
  </w:style>
  <w:style w:type="character" w:customStyle="1" w:styleId="Heading1Char">
    <w:name w:val="Heading 1 Char"/>
    <w:basedOn w:val="DefaultParagraphFont"/>
    <w:link w:val="Heading1"/>
    <w:uiPriority w:val="1"/>
    <w:rsid w:val="00F27C83"/>
    <w:rPr>
      <w:rFonts w:eastAsiaTheme="majorEastAsia" w:cstheme="majorBidi"/>
      <w:bCs/>
      <w:szCs w:val="28"/>
    </w:rPr>
  </w:style>
  <w:style w:type="character" w:customStyle="1" w:styleId="Heading2Char">
    <w:name w:val="Heading 2 Char"/>
    <w:basedOn w:val="DefaultParagraphFont"/>
    <w:link w:val="Heading2"/>
    <w:uiPriority w:val="1"/>
    <w:rsid w:val="00F27C83"/>
    <w:rPr>
      <w:rFonts w:eastAsiaTheme="majorEastAsia" w:cstheme="majorBidi"/>
      <w:bCs/>
      <w:szCs w:val="26"/>
    </w:rPr>
  </w:style>
  <w:style w:type="paragraph" w:customStyle="1" w:styleId="L4Para">
    <w:name w:val="L4Para"/>
    <w:next w:val="Normal"/>
    <w:uiPriority w:val="2"/>
    <w:qFormat/>
    <w:rsid w:val="00F27C83"/>
    <w:pPr>
      <w:ind w:left="2160"/>
    </w:pPr>
  </w:style>
  <w:style w:type="character" w:customStyle="1" w:styleId="Heading3Char">
    <w:name w:val="Heading 3 Char"/>
    <w:basedOn w:val="DefaultParagraphFont"/>
    <w:link w:val="Heading3"/>
    <w:uiPriority w:val="1"/>
    <w:rsid w:val="00F27C83"/>
    <w:rPr>
      <w:rFonts w:eastAsiaTheme="majorEastAsia" w:cstheme="majorBidi"/>
      <w:bCs/>
    </w:rPr>
  </w:style>
  <w:style w:type="character" w:customStyle="1" w:styleId="Heading4Char">
    <w:name w:val="Heading 4 Char"/>
    <w:basedOn w:val="DefaultParagraphFont"/>
    <w:link w:val="Heading4"/>
    <w:uiPriority w:val="1"/>
    <w:rsid w:val="009B61E3"/>
    <w:rPr>
      <w:rFonts w:eastAsiaTheme="majorEastAsia" w:cstheme="majorBidi"/>
      <w:bCs/>
      <w:iCs/>
    </w:rPr>
  </w:style>
  <w:style w:type="character" w:customStyle="1" w:styleId="Heading5Char">
    <w:name w:val="Heading 5 Char"/>
    <w:basedOn w:val="DefaultParagraphFont"/>
    <w:link w:val="Heading5"/>
    <w:uiPriority w:val="1"/>
    <w:rsid w:val="00F27C83"/>
    <w:rPr>
      <w:rFonts w:eastAsiaTheme="majorEastAsia" w:cstheme="majorBidi"/>
    </w:rPr>
  </w:style>
  <w:style w:type="character" w:customStyle="1" w:styleId="Heading6Char">
    <w:name w:val="Heading 6 Char"/>
    <w:basedOn w:val="DefaultParagraphFont"/>
    <w:link w:val="Heading6"/>
    <w:uiPriority w:val="10"/>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F27C83"/>
    <w:pPr>
      <w:ind w:left="2880"/>
    </w:pPr>
  </w:style>
  <w:style w:type="table" w:styleId="LightList-Accent1">
    <w:name w:val="Light List Accent 1"/>
    <w:basedOn w:val="TableNormal"/>
    <w:uiPriority w:val="61"/>
    <w:rsid w:val="00AF01D8"/>
    <w:pPr>
      <w:spacing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Shading2-Accent1">
    <w:name w:val="Medium Shading 2 Accent 1"/>
    <w:basedOn w:val="TableNormal"/>
    <w:uiPriority w:val="64"/>
    <w:rsid w:val="00AF01D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
    <w:name w:val="Style (1)"/>
    <w:uiPriority w:val="3"/>
    <w:qFormat/>
    <w:rsid w:val="00F27C83"/>
    <w:pPr>
      <w:numPr>
        <w:numId w:val="1"/>
      </w:numPr>
    </w:pPr>
  </w:style>
  <w:style w:type="paragraph" w:customStyle="1" w:styleId="Stylei">
    <w:name w:val="Style (i)"/>
    <w:uiPriority w:val="3"/>
    <w:qFormat/>
    <w:rsid w:val="00CC7D80"/>
    <w:pPr>
      <w:numPr>
        <w:numId w:val="2"/>
      </w:numPr>
    </w:pPr>
  </w:style>
  <w:style w:type="paragraph" w:customStyle="1" w:styleId="StyleA0">
    <w:name w:val="Style A"/>
    <w:uiPriority w:val="3"/>
    <w:qFormat/>
    <w:rsid w:val="00F27C83"/>
    <w:pPr>
      <w:numPr>
        <w:numId w:val="3"/>
      </w:numPr>
    </w:pPr>
  </w:style>
  <w:style w:type="table" w:styleId="TableGrid">
    <w:name w:val="Table Grid"/>
    <w:basedOn w:val="TableNormal"/>
    <w:rsid w:val="00435216"/>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ListParagraph">
    <w:name w:val="List Paragraph"/>
    <w:basedOn w:val="Normal"/>
    <w:uiPriority w:val="99"/>
    <w:semiHidden/>
    <w:qFormat/>
    <w:rsid w:val="00101443"/>
    <w:pPr>
      <w:ind w:left="720"/>
    </w:p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NoSpacing">
    <w:name w:val="No Spacing"/>
    <w:link w:val="NoSpacingChar"/>
    <w:uiPriority w:val="13"/>
    <w:semiHidden/>
    <w:qFormat/>
    <w:rsid w:val="00827475"/>
    <w:pPr>
      <w:spacing w:line="240" w:lineRule="auto"/>
      <w:jc w:val="left"/>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13"/>
    <w:semiHidden/>
    <w:rsid w:val="00645F12"/>
    <w:rPr>
      <w:rFonts w:asciiTheme="minorHAnsi" w:eastAsiaTheme="minorEastAsia" w:hAnsiTheme="minorHAnsi"/>
      <w:sz w:val="22"/>
      <w:szCs w:val="22"/>
      <w:lang w:val="de-DE" w:eastAsia="ja-JP"/>
    </w:rPr>
  </w:style>
  <w:style w:type="paragraph" w:styleId="BalloonText">
    <w:name w:val="Balloon Text"/>
    <w:basedOn w:val="Normal"/>
    <w:link w:val="BalloonTextChar"/>
    <w:uiPriority w:val="99"/>
    <w:semiHidden/>
    <w:rsid w:val="0082747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663DE"/>
    <w:rPr>
      <w:rFonts w:ascii="Tahoma" w:hAnsi="Tahoma" w:cs="Tahoma"/>
      <w:sz w:val="16"/>
      <w:szCs w:val="16"/>
    </w:rPr>
  </w:style>
  <w:style w:type="paragraph" w:styleId="FootnoteText">
    <w:name w:val="footnote text"/>
    <w:basedOn w:val="Normal"/>
    <w:link w:val="FootnoteTextChar"/>
    <w:uiPriority w:val="99"/>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styleId="EndnoteText">
    <w:name w:val="endnote text"/>
    <w:basedOn w:val="Normal"/>
    <w:link w:val="EndnoteTextChar"/>
    <w:uiPriority w:val="99"/>
    <w:semiHidden/>
    <w:rsid w:val="000B495E"/>
    <w:rPr>
      <w:rFonts w:eastAsiaTheme="minorHAnsi" w:cstheme="minorBidi"/>
    </w:rPr>
  </w:style>
  <w:style w:type="character" w:customStyle="1" w:styleId="EndnoteTextChar">
    <w:name w:val="Endnote Text Char"/>
    <w:basedOn w:val="DefaultParagraphFont"/>
    <w:link w:val="EndnoteText"/>
    <w:uiPriority w:val="99"/>
    <w:semiHidden/>
    <w:rsid w:val="008663DE"/>
  </w:style>
  <w:style w:type="character" w:styleId="EndnoteReference">
    <w:name w:val="endnote reference"/>
    <w:basedOn w:val="DefaultParagraphFont"/>
    <w:uiPriority w:val="99"/>
    <w:semiHidden/>
    <w:rsid w:val="000B495E"/>
    <w:rPr>
      <w:vertAlign w:val="superscript"/>
    </w:rPr>
  </w:style>
  <w:style w:type="paragraph" w:customStyle="1" w:styleId="Schedule2">
    <w:name w:val="Schedule 2"/>
    <w:next w:val="L1Para"/>
    <w:uiPriority w:val="6"/>
    <w:qFormat/>
    <w:rsid w:val="00F27C83"/>
    <w:pPr>
      <w:numPr>
        <w:ilvl w:val="1"/>
        <w:numId w:val="5"/>
      </w:numPr>
      <w:outlineLvl w:val="1"/>
    </w:pPr>
  </w:style>
  <w:style w:type="paragraph" w:customStyle="1" w:styleId="Schedule3">
    <w:name w:val="Schedule 3"/>
    <w:next w:val="L2Para"/>
    <w:uiPriority w:val="6"/>
    <w:qFormat/>
    <w:rsid w:val="00F27C83"/>
    <w:pPr>
      <w:numPr>
        <w:ilvl w:val="2"/>
        <w:numId w:val="5"/>
      </w:numPr>
      <w:outlineLvl w:val="2"/>
    </w:pPr>
  </w:style>
  <w:style w:type="paragraph" w:customStyle="1" w:styleId="Schedule4">
    <w:name w:val="Schedule 4"/>
    <w:next w:val="L3Para"/>
    <w:uiPriority w:val="6"/>
    <w:qFormat/>
    <w:rsid w:val="00F27C83"/>
    <w:pPr>
      <w:numPr>
        <w:ilvl w:val="3"/>
        <w:numId w:val="5"/>
      </w:numPr>
      <w:outlineLvl w:val="3"/>
    </w:pPr>
  </w:style>
  <w:style w:type="paragraph" w:customStyle="1" w:styleId="Schedule5">
    <w:name w:val="Schedule 5"/>
    <w:next w:val="L4Para"/>
    <w:uiPriority w:val="6"/>
    <w:qFormat/>
    <w:rsid w:val="00F27C83"/>
    <w:pPr>
      <w:numPr>
        <w:ilvl w:val="4"/>
        <w:numId w:val="5"/>
      </w:numPr>
      <w:outlineLvl w:val="4"/>
    </w:pPr>
  </w:style>
  <w:style w:type="paragraph" w:customStyle="1" w:styleId="ScheduleName">
    <w:name w:val="Schedule Name"/>
    <w:basedOn w:val="Normal"/>
    <w:next w:val="Normal"/>
    <w:uiPriority w:val="5"/>
    <w:qFormat/>
    <w:rsid w:val="0077389F"/>
    <w:pPr>
      <w:jc w:val="center"/>
    </w:pPr>
    <w:rPr>
      <w:b/>
    </w:rPr>
  </w:style>
  <w:style w:type="paragraph" w:styleId="TOC1">
    <w:name w:val="toc 1"/>
    <w:next w:val="Normal"/>
    <w:autoRedefine/>
    <w:uiPriority w:val="39"/>
    <w:rsid w:val="00B51AAF"/>
    <w:pPr>
      <w:tabs>
        <w:tab w:val="left" w:pos="660"/>
        <w:tab w:val="right" w:leader="dot" w:pos="9878"/>
      </w:tabs>
      <w:ind w:left="226" w:hanging="113"/>
      <w:jc w:val="left"/>
    </w:pPr>
    <w:rPr>
      <w:b/>
      <w:caps/>
    </w:rPr>
  </w:style>
  <w:style w:type="character" w:styleId="Hyperlink">
    <w:name w:val="Hyperlink"/>
    <w:basedOn w:val="DefaultParagraphFont"/>
    <w:uiPriority w:val="99"/>
    <w:rsid w:val="00E354AF"/>
    <w:rPr>
      <w:color w:val="6B9F25" w:themeColor="hyperlink"/>
      <w:u w:val="single"/>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F27C83"/>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PlaceholderText">
    <w:name w:val="Placeholder Text"/>
    <w:basedOn w:val="DefaultParagraphFont"/>
    <w:uiPriority w:val="99"/>
    <w:semiHidden/>
    <w:rsid w:val="002140A1"/>
    <w:rPr>
      <w:color w:val="808080"/>
    </w:r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F27C83"/>
    <w:pPr>
      <w:numPr>
        <w:ilvl w:val="2"/>
        <w:numId w:val="7"/>
      </w:numPr>
    </w:pPr>
  </w:style>
  <w:style w:type="paragraph" w:customStyle="1" w:styleId="Appendix2">
    <w:name w:val="Appendix 2"/>
    <w:next w:val="L1Para"/>
    <w:uiPriority w:val="8"/>
    <w:qFormat/>
    <w:rsid w:val="00F27C83"/>
    <w:pPr>
      <w:numPr>
        <w:ilvl w:val="1"/>
        <w:numId w:val="7"/>
      </w:numPr>
    </w:pPr>
  </w:style>
  <w:style w:type="paragraph" w:customStyle="1" w:styleId="Appendix4">
    <w:name w:val="Appendix 4"/>
    <w:next w:val="L3Para"/>
    <w:uiPriority w:val="8"/>
    <w:qFormat/>
    <w:rsid w:val="00F27C83"/>
    <w:pPr>
      <w:numPr>
        <w:ilvl w:val="3"/>
        <w:numId w:val="7"/>
      </w:numPr>
    </w:pPr>
  </w:style>
  <w:style w:type="paragraph" w:customStyle="1" w:styleId="Appendix5">
    <w:name w:val="Appendix 5"/>
    <w:next w:val="L4Para"/>
    <w:uiPriority w:val="8"/>
    <w:qFormat/>
    <w:rsid w:val="00F27C83"/>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7B1C75"/>
    <w:pPr>
      <w:spacing w:before="0"/>
    </w:pPr>
    <w:rPr>
      <w:rFonts w:eastAsia="Times New Roman" w:cs="Times New Roman"/>
    </w:rPr>
  </w:style>
  <w:style w:type="paragraph" w:styleId="TOC2">
    <w:name w:val="toc 2"/>
    <w:next w:val="Normal"/>
    <w:autoRedefine/>
    <w:uiPriority w:val="39"/>
    <w:unhideWhenUsed/>
    <w:rsid w:val="00B51AAF"/>
    <w:pPr>
      <w:ind w:left="226" w:hanging="113"/>
    </w:pPr>
    <w:rPr>
      <w:rFonts w:eastAsia="Times New Roman" w:cs="Times New Roman"/>
      <w:b/>
      <w:caps/>
    </w:rPr>
  </w:style>
  <w:style w:type="paragraph" w:styleId="TOC3">
    <w:name w:val="toc 3"/>
    <w:basedOn w:val="Normal"/>
    <w:next w:val="Normal"/>
    <w:autoRedefine/>
    <w:uiPriority w:val="39"/>
    <w:semiHidden/>
    <w:unhideWhenUsed/>
    <w:rsid w:val="007E1FB2"/>
    <w:pPr>
      <w:spacing w:after="100"/>
      <w:ind w:left="400"/>
    </w:pPr>
    <w:rPr>
      <w:b/>
    </w:rPr>
  </w:style>
  <w:style w:type="paragraph" w:styleId="NormalWeb">
    <w:name w:val="Normal (Web)"/>
    <w:basedOn w:val="Normal"/>
    <w:uiPriority w:val="99"/>
    <w:unhideWhenUsed/>
    <w:rsid w:val="00DD0F28"/>
    <w:pPr>
      <w:spacing w:before="100" w:beforeAutospacing="1" w:after="100" w:afterAutospacing="1" w:line="240" w:lineRule="auto"/>
      <w:jc w:val="left"/>
    </w:pPr>
    <w:rPr>
      <w:rFonts w:ascii="Times New Roman" w:eastAsiaTheme="minorHAnsi" w:hAnsi="Times New Roman"/>
      <w:sz w:val="24"/>
      <w:szCs w:val="24"/>
    </w:rPr>
  </w:style>
  <w:style w:type="character" w:customStyle="1" w:styleId="apple-converted-space">
    <w:name w:val="apple-converted-space"/>
    <w:basedOn w:val="DefaultParagraphFont"/>
    <w:rsid w:val="00DD0F28"/>
  </w:style>
  <w:style w:type="character" w:styleId="FollowedHyperlink">
    <w:name w:val="FollowedHyperlink"/>
    <w:basedOn w:val="DefaultParagraphFont"/>
    <w:uiPriority w:val="99"/>
    <w:semiHidden/>
    <w:unhideWhenUsed/>
    <w:rsid w:val="00A84E35"/>
    <w:rPr>
      <w:color w:val="B26B02" w:themeColor="followedHyperlink"/>
      <w:u w:val="single"/>
    </w:rPr>
  </w:style>
  <w:style w:type="table" w:customStyle="1" w:styleId="TableGrid1">
    <w:name w:val="Table Grid1"/>
    <w:basedOn w:val="TableNormal"/>
    <w:next w:val="TableGrid"/>
    <w:uiPriority w:val="59"/>
    <w:rsid w:val="003A04F0"/>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character" w:styleId="CommentReference">
    <w:name w:val="annotation reference"/>
    <w:basedOn w:val="DefaultParagraphFont"/>
    <w:uiPriority w:val="99"/>
    <w:semiHidden/>
    <w:unhideWhenUsed/>
    <w:rsid w:val="003A04F0"/>
    <w:rPr>
      <w:sz w:val="16"/>
      <w:szCs w:val="16"/>
    </w:rPr>
  </w:style>
  <w:style w:type="paragraph" w:styleId="CommentText">
    <w:name w:val="annotation text"/>
    <w:basedOn w:val="Normal"/>
    <w:link w:val="CommentTextChar"/>
    <w:uiPriority w:val="99"/>
    <w:semiHidden/>
    <w:unhideWhenUsed/>
    <w:rsid w:val="003A04F0"/>
    <w:pPr>
      <w:spacing w:before="0" w:line="240" w:lineRule="auto"/>
      <w:jc w:val="left"/>
    </w:pPr>
    <w:rPr>
      <w:rFonts w:eastAsiaTheme="minorHAnsi" w:cs="Arial"/>
    </w:rPr>
  </w:style>
  <w:style w:type="character" w:customStyle="1" w:styleId="CommentTextChar">
    <w:name w:val="Comment Text Char"/>
    <w:basedOn w:val="DefaultParagraphFont"/>
    <w:link w:val="CommentText"/>
    <w:uiPriority w:val="99"/>
    <w:semiHidden/>
    <w:rsid w:val="003A04F0"/>
    <w:rPr>
      <w:rFonts w:cs="Arial"/>
    </w:rPr>
  </w:style>
  <w:style w:type="paragraph" w:styleId="CommentSubject">
    <w:name w:val="annotation subject"/>
    <w:basedOn w:val="CommentText"/>
    <w:next w:val="CommentText"/>
    <w:link w:val="CommentSubjectChar"/>
    <w:uiPriority w:val="99"/>
    <w:semiHidden/>
    <w:unhideWhenUsed/>
    <w:rsid w:val="00F666F8"/>
    <w:pPr>
      <w:spacing w:before="24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F666F8"/>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43708">
      <w:bodyDiv w:val="1"/>
      <w:marLeft w:val="0"/>
      <w:marRight w:val="0"/>
      <w:marTop w:val="0"/>
      <w:marBottom w:val="0"/>
      <w:divBdr>
        <w:top w:val="none" w:sz="0" w:space="0" w:color="auto"/>
        <w:left w:val="none" w:sz="0" w:space="0" w:color="auto"/>
        <w:bottom w:val="none" w:sz="0" w:space="0" w:color="auto"/>
        <w:right w:val="none" w:sz="0" w:space="0" w:color="auto"/>
      </w:divBdr>
      <w:divsChild>
        <w:div w:id="1964723433">
          <w:marLeft w:val="0"/>
          <w:marRight w:val="0"/>
          <w:marTop w:val="0"/>
          <w:marBottom w:val="240"/>
          <w:divBdr>
            <w:top w:val="none" w:sz="0" w:space="0" w:color="auto"/>
            <w:left w:val="none" w:sz="0" w:space="0" w:color="auto"/>
            <w:bottom w:val="none" w:sz="0" w:space="0" w:color="auto"/>
            <w:right w:val="none" w:sz="0" w:space="0" w:color="auto"/>
          </w:divBdr>
          <w:divsChild>
            <w:div w:id="20011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 w:id="1281573392">
      <w:bodyDiv w:val="1"/>
      <w:marLeft w:val="0"/>
      <w:marRight w:val="0"/>
      <w:marTop w:val="0"/>
      <w:marBottom w:val="0"/>
      <w:divBdr>
        <w:top w:val="none" w:sz="0" w:space="0" w:color="auto"/>
        <w:left w:val="none" w:sz="0" w:space="0" w:color="auto"/>
        <w:bottom w:val="none" w:sz="0" w:space="0" w:color="auto"/>
        <w:right w:val="none" w:sz="0" w:space="0" w:color="auto"/>
      </w:divBdr>
    </w:div>
    <w:div w:id="1638291099">
      <w:bodyDiv w:val="1"/>
      <w:marLeft w:val="0"/>
      <w:marRight w:val="0"/>
      <w:marTop w:val="0"/>
      <w:marBottom w:val="0"/>
      <w:divBdr>
        <w:top w:val="none" w:sz="0" w:space="0" w:color="auto"/>
        <w:left w:val="none" w:sz="0" w:space="0" w:color="auto"/>
        <w:bottom w:val="none" w:sz="0" w:space="0" w:color="auto"/>
        <w:right w:val="none" w:sz="0" w:space="0" w:color="auto"/>
      </w:divBdr>
    </w:div>
    <w:div w:id="1940259918">
      <w:bodyDiv w:val="1"/>
      <w:marLeft w:val="0"/>
      <w:marRight w:val="0"/>
      <w:marTop w:val="0"/>
      <w:marBottom w:val="0"/>
      <w:divBdr>
        <w:top w:val="none" w:sz="0" w:space="0" w:color="auto"/>
        <w:left w:val="none" w:sz="0" w:space="0" w:color="auto"/>
        <w:bottom w:val="none" w:sz="0" w:space="0" w:color="auto"/>
        <w:right w:val="none" w:sz="0" w:space="0" w:color="auto"/>
      </w:divBdr>
    </w:div>
    <w:div w:id="2039507913">
      <w:bodyDiv w:val="1"/>
      <w:marLeft w:val="0"/>
      <w:marRight w:val="0"/>
      <w:marTop w:val="0"/>
      <w:marBottom w:val="0"/>
      <w:divBdr>
        <w:top w:val="none" w:sz="0" w:space="0" w:color="auto"/>
        <w:left w:val="none" w:sz="0" w:space="0" w:color="auto"/>
        <w:bottom w:val="none" w:sz="0" w:space="0" w:color="auto"/>
        <w:right w:val="none" w:sz="0" w:space="0" w:color="auto"/>
      </w:divBdr>
      <w:divsChild>
        <w:div w:id="503712048">
          <w:marLeft w:val="0"/>
          <w:marRight w:val="0"/>
          <w:marTop w:val="0"/>
          <w:marBottom w:val="0"/>
          <w:divBdr>
            <w:top w:val="none" w:sz="0" w:space="0" w:color="auto"/>
            <w:left w:val="none" w:sz="0" w:space="0" w:color="auto"/>
            <w:bottom w:val="none" w:sz="0" w:space="0" w:color="auto"/>
            <w:right w:val="none" w:sz="0" w:space="0" w:color="auto"/>
          </w:divBdr>
          <w:divsChild>
            <w:div w:id="31002829">
              <w:marLeft w:val="0"/>
              <w:marRight w:val="0"/>
              <w:marTop w:val="0"/>
              <w:marBottom w:val="0"/>
              <w:divBdr>
                <w:top w:val="none" w:sz="0" w:space="0" w:color="auto"/>
                <w:left w:val="none" w:sz="0" w:space="0" w:color="auto"/>
                <w:bottom w:val="none" w:sz="0" w:space="0" w:color="auto"/>
                <w:right w:val="none" w:sz="0" w:space="0" w:color="auto"/>
              </w:divBdr>
              <w:divsChild>
                <w:div w:id="604314219">
                  <w:marLeft w:val="0"/>
                  <w:marRight w:val="0"/>
                  <w:marTop w:val="0"/>
                  <w:marBottom w:val="0"/>
                  <w:divBdr>
                    <w:top w:val="none" w:sz="0" w:space="0" w:color="auto"/>
                    <w:left w:val="none" w:sz="0" w:space="0" w:color="auto"/>
                    <w:bottom w:val="none" w:sz="0" w:space="0" w:color="auto"/>
                    <w:right w:val="none" w:sz="0" w:space="0" w:color="auto"/>
                  </w:divBdr>
                  <w:divsChild>
                    <w:div w:id="663820944">
                      <w:marLeft w:val="0"/>
                      <w:marRight w:val="0"/>
                      <w:marTop w:val="0"/>
                      <w:marBottom w:val="0"/>
                      <w:divBdr>
                        <w:top w:val="none" w:sz="0" w:space="0" w:color="auto"/>
                        <w:left w:val="none" w:sz="0" w:space="0" w:color="auto"/>
                        <w:bottom w:val="none" w:sz="0" w:space="0" w:color="auto"/>
                        <w:right w:val="none" w:sz="0" w:space="0" w:color="auto"/>
                      </w:divBdr>
                      <w:divsChild>
                        <w:div w:id="695934102">
                          <w:marLeft w:val="0"/>
                          <w:marRight w:val="0"/>
                          <w:marTop w:val="0"/>
                          <w:marBottom w:val="0"/>
                          <w:divBdr>
                            <w:top w:val="none" w:sz="0" w:space="0" w:color="auto"/>
                            <w:left w:val="none" w:sz="0" w:space="0" w:color="auto"/>
                            <w:bottom w:val="none" w:sz="0" w:space="0" w:color="auto"/>
                            <w:right w:val="none" w:sz="0" w:space="0" w:color="auto"/>
                          </w:divBdr>
                          <w:divsChild>
                            <w:div w:id="2039356786">
                              <w:marLeft w:val="0"/>
                              <w:marRight w:val="0"/>
                              <w:marTop w:val="0"/>
                              <w:marBottom w:val="0"/>
                              <w:divBdr>
                                <w:top w:val="none" w:sz="0" w:space="0" w:color="auto"/>
                                <w:left w:val="none" w:sz="0" w:space="0" w:color="auto"/>
                                <w:bottom w:val="none" w:sz="0" w:space="0" w:color="auto"/>
                                <w:right w:val="none" w:sz="0" w:space="0" w:color="auto"/>
                              </w:divBdr>
                              <w:divsChild>
                                <w:div w:id="1715038836">
                                  <w:marLeft w:val="0"/>
                                  <w:marRight w:val="0"/>
                                  <w:marTop w:val="0"/>
                                  <w:marBottom w:val="0"/>
                                  <w:divBdr>
                                    <w:top w:val="none" w:sz="0" w:space="0" w:color="auto"/>
                                    <w:left w:val="none" w:sz="0" w:space="0" w:color="auto"/>
                                    <w:bottom w:val="none" w:sz="0" w:space="0" w:color="auto"/>
                                    <w:right w:val="none" w:sz="0" w:space="0" w:color="auto"/>
                                  </w:divBdr>
                                  <w:divsChild>
                                    <w:div w:id="1263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4.visualcompliance.com/stock/procurecodes.cf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Templates\WorkgroupTemplates\ALGBlank.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ALGBlank.dotm</Template>
  <TotalTime>0</TotalTime>
  <Pages>9</Pages>
  <Words>4058</Words>
  <Characters>23131</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27135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2018-06-01T08:56:00Z</dcterms:created>
  <dcterms:modified xsi:type="dcterms:W3CDTF">2018-06-01T10:41:00Z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M-40205608-2</vt:lpwstr>
  </property>
  <property fmtid="{D5CDD505-2E9C-101B-9397-08002B2CF9AE}" pid="3" name="MSIP_Label_2c159b7c-1546-4848-a5c0-6145c7e7a434_Enabled">
    <vt:lpwstr>True</vt:lpwstr>
  </property>
  <property fmtid="{D5CDD505-2E9C-101B-9397-08002B2CF9AE}" pid="4" name="MSIP_Label_2c159b7c-1546-4848-a5c0-6145c7e7a434_SiteId">
    <vt:lpwstr>46cec638-8a06-43fd-a7d7-8a626e13367f</vt:lpwstr>
  </property>
  <property fmtid="{D5CDD505-2E9C-101B-9397-08002B2CF9AE}" pid="5" name="MSIP_Label_2c159b7c-1546-4848-a5c0-6145c7e7a434_Ref">
    <vt:lpwstr>https://api.informationprotection.azure.com/api/46cec638-8a06-43fd-a7d7-8a626e13367f</vt:lpwstr>
  </property>
  <property fmtid="{D5CDD505-2E9C-101B-9397-08002B2CF9AE}" pid="6" name="MSIP_Label_2c159b7c-1546-4848-a5c0-6145c7e7a434_Owner">
    <vt:lpwstr>Chuck.Fliehman@teleflex.com</vt:lpwstr>
  </property>
  <property fmtid="{D5CDD505-2E9C-101B-9397-08002B2CF9AE}" pid="7" name="MSIP_Label_2c159b7c-1546-4848-a5c0-6145c7e7a434_SetDate">
    <vt:lpwstr>2018-05-23T09:36:57.9510433-04:00</vt:lpwstr>
  </property>
  <property fmtid="{D5CDD505-2E9C-101B-9397-08002B2CF9AE}" pid="8" name="MSIP_Label_2c159b7c-1546-4848-a5c0-6145c7e7a434_Name">
    <vt:lpwstr>General</vt:lpwstr>
  </property>
  <property fmtid="{D5CDD505-2E9C-101B-9397-08002B2CF9AE}" pid="9" name="MSIP_Label_2c159b7c-1546-4848-a5c0-6145c7e7a434_Application">
    <vt:lpwstr>Microsoft Azure Information Protection</vt:lpwstr>
  </property>
  <property fmtid="{D5CDD505-2E9C-101B-9397-08002B2CF9AE}" pid="10" name="MSIP_Label_2c159b7c-1546-4848-a5c0-6145c7e7a434_Extended_MSFT_Method">
    <vt:lpwstr>Automatic</vt:lpwstr>
  </property>
  <property fmtid="{D5CDD505-2E9C-101B-9397-08002B2CF9AE}" pid="11" name="Sensitivity">
    <vt:lpwstr>General</vt:lpwstr>
  </property>
</Properties>
</file>